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35651" w14:textId="5308B3EA" w:rsidR="0050711F" w:rsidRDefault="0050711F" w:rsidP="009E75CD">
      <w:pPr>
        <w:ind w:left="567" w:right="686"/>
        <w:jc w:val="center"/>
        <w:rPr>
          <w:rFonts w:ascii="Calibri" w:hAnsi="Calibri" w:cs="Calibri"/>
          <w:b/>
          <w:bCs/>
          <w:sz w:val="24"/>
          <w:szCs w:val="24"/>
        </w:rPr>
      </w:pPr>
      <w:r w:rsidRPr="0050711F">
        <w:rPr>
          <w:rFonts w:ascii="Calibri" w:hAnsi="Calibri" w:cs="Calibri"/>
          <w:b/>
          <w:bCs/>
          <w:sz w:val="24"/>
          <w:szCs w:val="24"/>
        </w:rPr>
        <w:t>University of Stirling: Gift Acceptance Policy</w:t>
      </w:r>
    </w:p>
    <w:p w14:paraId="07B27621" w14:textId="33F150E3" w:rsidR="00903373" w:rsidRPr="0050711F" w:rsidRDefault="00903373" w:rsidP="009E75CD">
      <w:pPr>
        <w:ind w:left="567" w:right="686"/>
        <w:jc w:val="center"/>
        <w:rPr>
          <w:rFonts w:ascii="Calibri" w:hAnsi="Calibri" w:cs="Calibri"/>
          <w:b/>
          <w:bCs/>
          <w:sz w:val="24"/>
          <w:szCs w:val="24"/>
        </w:rPr>
      </w:pPr>
      <w:r>
        <w:rPr>
          <w:rFonts w:ascii="Calibri" w:hAnsi="Calibri" w:cs="Calibri"/>
          <w:b/>
          <w:bCs/>
          <w:sz w:val="24"/>
          <w:szCs w:val="24"/>
        </w:rPr>
        <w:t xml:space="preserve">Updated </w:t>
      </w:r>
      <w:r w:rsidR="006703D0">
        <w:rPr>
          <w:rFonts w:ascii="Calibri" w:hAnsi="Calibri" w:cs="Calibri"/>
          <w:b/>
          <w:bCs/>
          <w:sz w:val="24"/>
          <w:szCs w:val="24"/>
        </w:rPr>
        <w:t>May 2026</w:t>
      </w:r>
    </w:p>
    <w:p w14:paraId="2F032C48" w14:textId="77777777" w:rsidR="0050711F" w:rsidRPr="0050711F" w:rsidRDefault="0050711F" w:rsidP="009E75CD">
      <w:pPr>
        <w:ind w:right="686"/>
        <w:jc w:val="both"/>
        <w:rPr>
          <w:rFonts w:ascii="Calibri" w:hAnsi="Calibri" w:cs="Calibri"/>
          <w:sz w:val="24"/>
          <w:szCs w:val="24"/>
        </w:rPr>
      </w:pPr>
    </w:p>
    <w:p w14:paraId="27C68B3E" w14:textId="4B055362" w:rsidR="0050711F" w:rsidRPr="0050711F" w:rsidRDefault="0050711F" w:rsidP="009E75CD">
      <w:pPr>
        <w:ind w:right="686"/>
        <w:jc w:val="both"/>
        <w:rPr>
          <w:rFonts w:ascii="Calibri" w:hAnsi="Calibri" w:cs="Calibri"/>
          <w:b/>
          <w:bCs/>
          <w:sz w:val="24"/>
          <w:szCs w:val="24"/>
        </w:rPr>
      </w:pPr>
      <w:r w:rsidRPr="0050711F">
        <w:rPr>
          <w:rFonts w:ascii="Calibri" w:hAnsi="Calibri" w:cs="Calibri"/>
          <w:b/>
          <w:bCs/>
          <w:sz w:val="24"/>
          <w:szCs w:val="24"/>
        </w:rPr>
        <w:t>1</w:t>
      </w:r>
      <w:r w:rsidR="00797561">
        <w:rPr>
          <w:rFonts w:ascii="Calibri" w:hAnsi="Calibri" w:cs="Calibri"/>
          <w:b/>
          <w:bCs/>
          <w:sz w:val="24"/>
          <w:szCs w:val="24"/>
        </w:rPr>
        <w:t xml:space="preserve">. </w:t>
      </w:r>
      <w:r w:rsidRPr="0050711F">
        <w:rPr>
          <w:rFonts w:ascii="Calibri" w:hAnsi="Calibri" w:cs="Calibri"/>
          <w:b/>
          <w:bCs/>
          <w:sz w:val="24"/>
          <w:szCs w:val="24"/>
        </w:rPr>
        <w:t xml:space="preserve">Policy intent </w:t>
      </w:r>
    </w:p>
    <w:p w14:paraId="3CF7DB60" w14:textId="064EE782" w:rsidR="0050711F" w:rsidRPr="0050711F" w:rsidRDefault="0050711F" w:rsidP="009E75CD">
      <w:pPr>
        <w:ind w:left="142" w:right="686"/>
        <w:jc w:val="both"/>
        <w:rPr>
          <w:rFonts w:ascii="Calibri" w:hAnsi="Calibri" w:cs="Calibri"/>
          <w:sz w:val="24"/>
          <w:szCs w:val="24"/>
        </w:rPr>
      </w:pPr>
      <w:r w:rsidRPr="0050711F">
        <w:rPr>
          <w:rFonts w:ascii="Calibri" w:hAnsi="Calibri" w:cs="Calibri"/>
          <w:sz w:val="24"/>
          <w:szCs w:val="24"/>
        </w:rPr>
        <w:t>1.1</w:t>
      </w:r>
      <w:r>
        <w:rPr>
          <w:rFonts w:ascii="Calibri" w:hAnsi="Calibri" w:cs="Calibri"/>
          <w:sz w:val="24"/>
          <w:szCs w:val="24"/>
        </w:rPr>
        <w:t xml:space="preserve"> </w:t>
      </w:r>
      <w:r w:rsidRPr="0050711F">
        <w:rPr>
          <w:rFonts w:ascii="Calibri" w:hAnsi="Calibri" w:cs="Calibri"/>
          <w:sz w:val="24"/>
          <w:szCs w:val="24"/>
        </w:rPr>
        <w:t>This is the University of Stirling’s policy on the acceptance and refusal of philanthropic gifts. It is intended to ensure that the University operates appropriately, transparently and legally in relation to the receipt of gifts, including processes for scrutinising, accepting or refusing donations.</w:t>
      </w:r>
    </w:p>
    <w:p w14:paraId="0BA7CB6B" w14:textId="53AD1317" w:rsidR="0050711F" w:rsidRPr="0050711F" w:rsidRDefault="0050711F" w:rsidP="009E75CD">
      <w:pPr>
        <w:ind w:left="142" w:right="686"/>
        <w:jc w:val="both"/>
        <w:rPr>
          <w:rFonts w:ascii="Calibri" w:hAnsi="Calibri" w:cs="Calibri"/>
          <w:sz w:val="24"/>
          <w:szCs w:val="24"/>
        </w:rPr>
      </w:pPr>
      <w:r w:rsidRPr="0050711F">
        <w:rPr>
          <w:rFonts w:ascii="Calibri" w:hAnsi="Calibri" w:cs="Calibri"/>
          <w:sz w:val="24"/>
          <w:szCs w:val="24"/>
        </w:rPr>
        <w:t>1.2</w:t>
      </w:r>
      <w:r>
        <w:rPr>
          <w:rFonts w:ascii="Calibri" w:hAnsi="Calibri" w:cs="Calibri"/>
          <w:sz w:val="24"/>
          <w:szCs w:val="24"/>
        </w:rPr>
        <w:t xml:space="preserve"> </w:t>
      </w:r>
      <w:r w:rsidRPr="0050711F">
        <w:rPr>
          <w:rFonts w:ascii="Calibri" w:hAnsi="Calibri" w:cs="Calibri"/>
          <w:sz w:val="24"/>
          <w:szCs w:val="24"/>
        </w:rPr>
        <w:t xml:space="preserve">In relation to philanthropic gifts, this policy: </w:t>
      </w:r>
    </w:p>
    <w:p w14:paraId="3F337DAC" w14:textId="01CEB7AD" w:rsidR="0050711F" w:rsidRPr="0050711F" w:rsidRDefault="0050711F" w:rsidP="009E75CD">
      <w:pPr>
        <w:ind w:left="851" w:right="686"/>
        <w:jc w:val="both"/>
        <w:rPr>
          <w:rFonts w:ascii="Calibri" w:hAnsi="Calibri" w:cs="Calibri"/>
          <w:sz w:val="24"/>
          <w:szCs w:val="24"/>
        </w:rPr>
      </w:pPr>
      <w:r w:rsidRPr="0050711F">
        <w:rPr>
          <w:rFonts w:ascii="Calibri" w:hAnsi="Calibri" w:cs="Calibri"/>
          <w:sz w:val="24"/>
          <w:szCs w:val="24"/>
        </w:rPr>
        <w:t>• Clarifies how the University complies with legal regulations</w:t>
      </w:r>
    </w:p>
    <w:p w14:paraId="3568F2FF" w14:textId="72691F5E" w:rsidR="0050711F" w:rsidRPr="0050711F" w:rsidRDefault="0050711F" w:rsidP="009E75CD">
      <w:pPr>
        <w:ind w:left="851" w:right="686"/>
        <w:jc w:val="both"/>
        <w:rPr>
          <w:rFonts w:ascii="Calibri" w:hAnsi="Calibri" w:cs="Calibri"/>
          <w:sz w:val="24"/>
          <w:szCs w:val="24"/>
        </w:rPr>
      </w:pPr>
      <w:r w:rsidRPr="0050711F">
        <w:rPr>
          <w:rFonts w:ascii="Calibri" w:hAnsi="Calibri" w:cs="Calibri"/>
          <w:sz w:val="24"/>
          <w:szCs w:val="24"/>
        </w:rPr>
        <w:t xml:space="preserve">• Clarifies powers of decision making in relation to the acceptance of gifts </w:t>
      </w:r>
    </w:p>
    <w:p w14:paraId="0724E2A1" w14:textId="264D3A7D" w:rsidR="0050711F" w:rsidRPr="0050711F" w:rsidRDefault="0050711F" w:rsidP="009E75CD">
      <w:pPr>
        <w:ind w:left="851" w:right="686"/>
        <w:jc w:val="both"/>
        <w:rPr>
          <w:rFonts w:ascii="Calibri" w:hAnsi="Calibri" w:cs="Calibri"/>
          <w:sz w:val="24"/>
          <w:szCs w:val="24"/>
        </w:rPr>
      </w:pPr>
      <w:r w:rsidRPr="0050711F">
        <w:rPr>
          <w:rFonts w:ascii="Calibri" w:hAnsi="Calibri" w:cs="Calibri"/>
          <w:sz w:val="24"/>
          <w:szCs w:val="24"/>
        </w:rPr>
        <w:t>• Sets out procedures to ensure that decisions on the acceptance of gifts are based on a clear rationale, are consistent with the objectives of the University and are transparent</w:t>
      </w:r>
    </w:p>
    <w:p w14:paraId="627A9C7F" w14:textId="7C031919" w:rsidR="0050711F" w:rsidRDefault="0050711F" w:rsidP="009E75CD">
      <w:pPr>
        <w:ind w:left="142" w:right="686"/>
        <w:jc w:val="both"/>
        <w:rPr>
          <w:rFonts w:ascii="Calibri" w:hAnsi="Calibri" w:cs="Calibri"/>
          <w:sz w:val="24"/>
          <w:szCs w:val="24"/>
        </w:rPr>
      </w:pPr>
      <w:r w:rsidRPr="0050711F">
        <w:rPr>
          <w:rFonts w:ascii="Calibri" w:hAnsi="Calibri" w:cs="Calibri"/>
          <w:sz w:val="24"/>
          <w:szCs w:val="24"/>
        </w:rPr>
        <w:t>1.3</w:t>
      </w:r>
      <w:r w:rsidR="009E75CD">
        <w:rPr>
          <w:rFonts w:ascii="Calibri" w:hAnsi="Calibri" w:cs="Calibri"/>
          <w:sz w:val="24"/>
          <w:szCs w:val="24"/>
        </w:rPr>
        <w:t xml:space="preserve"> </w:t>
      </w:r>
      <w:r w:rsidRPr="0050711F">
        <w:rPr>
          <w:rFonts w:ascii="Calibri" w:hAnsi="Calibri" w:cs="Calibri"/>
          <w:sz w:val="24"/>
          <w:szCs w:val="24"/>
        </w:rPr>
        <w:t xml:space="preserve">It does not constitute the University’s policy on personal gifts, gratuities and hospitality. </w:t>
      </w:r>
    </w:p>
    <w:p w14:paraId="47735B22" w14:textId="77777777" w:rsidR="00A7540A" w:rsidRPr="00AF5C16" w:rsidRDefault="00A7540A" w:rsidP="009E75CD">
      <w:pPr>
        <w:ind w:right="686"/>
        <w:jc w:val="both"/>
        <w:rPr>
          <w:rFonts w:ascii="Calibri" w:hAnsi="Calibri" w:cs="Calibri"/>
          <w:sz w:val="24"/>
          <w:szCs w:val="24"/>
        </w:rPr>
      </w:pPr>
    </w:p>
    <w:p w14:paraId="14D2A8BA" w14:textId="4E9D2D2B" w:rsidR="0050711F" w:rsidRPr="0050711F" w:rsidRDefault="0050711F" w:rsidP="009E75CD">
      <w:pPr>
        <w:ind w:right="686"/>
        <w:jc w:val="both"/>
        <w:rPr>
          <w:rFonts w:ascii="Calibri" w:hAnsi="Calibri" w:cs="Calibri"/>
          <w:b/>
          <w:bCs/>
          <w:sz w:val="24"/>
          <w:szCs w:val="24"/>
        </w:rPr>
      </w:pPr>
      <w:r w:rsidRPr="0050711F">
        <w:rPr>
          <w:rFonts w:ascii="Calibri" w:hAnsi="Calibri" w:cs="Calibri"/>
          <w:b/>
          <w:bCs/>
          <w:sz w:val="24"/>
          <w:szCs w:val="24"/>
        </w:rPr>
        <w:t>2.</w:t>
      </w:r>
      <w:r w:rsidR="00797561">
        <w:rPr>
          <w:rFonts w:ascii="Calibri" w:hAnsi="Calibri" w:cs="Calibri"/>
          <w:b/>
          <w:bCs/>
          <w:sz w:val="24"/>
          <w:szCs w:val="24"/>
        </w:rPr>
        <w:t xml:space="preserve"> </w:t>
      </w:r>
      <w:r w:rsidRPr="0050711F">
        <w:rPr>
          <w:rFonts w:ascii="Calibri" w:hAnsi="Calibri" w:cs="Calibri"/>
          <w:b/>
          <w:bCs/>
          <w:sz w:val="24"/>
          <w:szCs w:val="24"/>
        </w:rPr>
        <w:t xml:space="preserve">Definitions </w:t>
      </w:r>
    </w:p>
    <w:p w14:paraId="709FB352" w14:textId="77777777" w:rsidR="0050711F" w:rsidRPr="0050711F" w:rsidRDefault="0050711F" w:rsidP="009E75CD">
      <w:pPr>
        <w:ind w:left="142" w:right="686"/>
        <w:jc w:val="both"/>
        <w:rPr>
          <w:rFonts w:ascii="Calibri" w:hAnsi="Calibri" w:cs="Calibri"/>
          <w:sz w:val="24"/>
          <w:szCs w:val="24"/>
        </w:rPr>
      </w:pPr>
      <w:r w:rsidRPr="0050711F">
        <w:rPr>
          <w:rFonts w:ascii="Calibri" w:hAnsi="Calibri" w:cs="Calibri"/>
          <w:sz w:val="24"/>
          <w:szCs w:val="24"/>
        </w:rPr>
        <w:t>2.1 Philanthropic gifts are those which:</w:t>
      </w:r>
    </w:p>
    <w:p w14:paraId="39AF4321" w14:textId="45E549D8" w:rsidR="0050711F" w:rsidRPr="0050711F" w:rsidRDefault="0050711F" w:rsidP="009E75CD">
      <w:pPr>
        <w:ind w:left="851" w:right="686"/>
        <w:jc w:val="both"/>
        <w:rPr>
          <w:rFonts w:ascii="Calibri" w:hAnsi="Calibri" w:cs="Calibri"/>
          <w:sz w:val="24"/>
          <w:szCs w:val="24"/>
        </w:rPr>
      </w:pPr>
      <w:r w:rsidRPr="0050711F">
        <w:rPr>
          <w:rFonts w:ascii="Calibri" w:hAnsi="Calibri" w:cs="Calibri"/>
          <w:sz w:val="24"/>
          <w:szCs w:val="24"/>
        </w:rPr>
        <w:t xml:space="preserve">• derive from individuals or organisations with discretion as to whether to offer support to the University or not </w:t>
      </w:r>
    </w:p>
    <w:p w14:paraId="13AF2A06" w14:textId="4E8ADF56" w:rsidR="0050711F" w:rsidRPr="0050711F" w:rsidRDefault="0050711F" w:rsidP="009E75CD">
      <w:pPr>
        <w:ind w:left="851" w:right="686"/>
        <w:jc w:val="both"/>
        <w:rPr>
          <w:rFonts w:ascii="Calibri" w:hAnsi="Calibri" w:cs="Calibri"/>
          <w:sz w:val="24"/>
          <w:szCs w:val="24"/>
        </w:rPr>
      </w:pPr>
      <w:r w:rsidRPr="0050711F">
        <w:rPr>
          <w:rFonts w:ascii="Calibri" w:hAnsi="Calibri" w:cs="Calibri"/>
          <w:sz w:val="24"/>
          <w:szCs w:val="24"/>
        </w:rPr>
        <w:t>• are given without expectation of personal or corporate benefit beyond that which is minimal or incidental</w:t>
      </w:r>
    </w:p>
    <w:p w14:paraId="41EBE446" w14:textId="2B14E7CC" w:rsidR="0050711F" w:rsidRPr="0050711F" w:rsidRDefault="0050711F" w:rsidP="009E75CD">
      <w:pPr>
        <w:ind w:left="851" w:right="686"/>
        <w:jc w:val="both"/>
        <w:rPr>
          <w:rFonts w:ascii="Calibri" w:hAnsi="Calibri" w:cs="Calibri"/>
          <w:sz w:val="24"/>
          <w:szCs w:val="24"/>
        </w:rPr>
      </w:pPr>
      <w:r w:rsidRPr="0050711F">
        <w:rPr>
          <w:rFonts w:ascii="Calibri" w:hAnsi="Calibri" w:cs="Calibri"/>
          <w:sz w:val="24"/>
          <w:szCs w:val="24"/>
        </w:rPr>
        <w:t xml:space="preserve">• are not directly derived from statutory sources </w:t>
      </w:r>
    </w:p>
    <w:p w14:paraId="6D289D34" w14:textId="1C26C144" w:rsidR="0050711F" w:rsidRDefault="0050711F" w:rsidP="009E75CD">
      <w:pPr>
        <w:ind w:left="142" w:right="686"/>
        <w:jc w:val="both"/>
        <w:rPr>
          <w:rFonts w:ascii="Calibri" w:hAnsi="Calibri" w:cs="Calibri"/>
          <w:sz w:val="24"/>
          <w:szCs w:val="24"/>
        </w:rPr>
      </w:pPr>
      <w:r w:rsidRPr="0050711F">
        <w:rPr>
          <w:rFonts w:ascii="Calibri" w:hAnsi="Calibri" w:cs="Calibri"/>
          <w:sz w:val="24"/>
          <w:szCs w:val="24"/>
        </w:rPr>
        <w:t xml:space="preserve">2.2 For the purposes of this policy a ‘gift’ includes pecuniary gifts, shares, cryptocurrency, property, bequests/legacies, works of art, equipment or other gifts in kind. It does not include volunteering activity through, for example, the alumni ambassador programme. </w:t>
      </w:r>
    </w:p>
    <w:p w14:paraId="44717906" w14:textId="77777777" w:rsidR="00A7540A" w:rsidRPr="00AF5C16" w:rsidRDefault="00A7540A" w:rsidP="009E75CD">
      <w:pPr>
        <w:ind w:right="686"/>
        <w:jc w:val="both"/>
        <w:rPr>
          <w:rFonts w:ascii="Calibri" w:hAnsi="Calibri" w:cs="Calibri"/>
          <w:sz w:val="24"/>
          <w:szCs w:val="24"/>
        </w:rPr>
      </w:pPr>
    </w:p>
    <w:p w14:paraId="4A23CD33" w14:textId="23C4A179" w:rsidR="0050711F" w:rsidRPr="0050711F" w:rsidRDefault="0050711F" w:rsidP="009E75CD">
      <w:pPr>
        <w:ind w:right="686"/>
        <w:jc w:val="both"/>
        <w:rPr>
          <w:rFonts w:ascii="Calibri" w:hAnsi="Calibri" w:cs="Calibri"/>
          <w:b/>
          <w:bCs/>
          <w:sz w:val="24"/>
          <w:szCs w:val="24"/>
        </w:rPr>
      </w:pPr>
      <w:r w:rsidRPr="0050711F">
        <w:rPr>
          <w:rFonts w:ascii="Calibri" w:hAnsi="Calibri" w:cs="Calibri"/>
          <w:b/>
          <w:bCs/>
          <w:sz w:val="24"/>
          <w:szCs w:val="24"/>
        </w:rPr>
        <w:t>3.</w:t>
      </w:r>
      <w:r w:rsidR="00797561">
        <w:rPr>
          <w:rFonts w:ascii="Calibri" w:hAnsi="Calibri" w:cs="Calibri"/>
          <w:b/>
          <w:bCs/>
          <w:sz w:val="24"/>
          <w:szCs w:val="24"/>
        </w:rPr>
        <w:t xml:space="preserve"> </w:t>
      </w:r>
      <w:r w:rsidRPr="0050711F">
        <w:rPr>
          <w:rFonts w:ascii="Calibri" w:hAnsi="Calibri" w:cs="Calibri"/>
          <w:b/>
          <w:bCs/>
          <w:sz w:val="24"/>
          <w:szCs w:val="24"/>
        </w:rPr>
        <w:t xml:space="preserve">The University’s responsibilities in relation to the receipt of gifts </w:t>
      </w:r>
    </w:p>
    <w:p w14:paraId="5A83FA5D" w14:textId="77777777" w:rsidR="0050711F" w:rsidRPr="0050711F" w:rsidRDefault="0050711F" w:rsidP="009E75CD">
      <w:pPr>
        <w:ind w:left="142" w:right="686"/>
        <w:jc w:val="both"/>
        <w:rPr>
          <w:rFonts w:ascii="Calibri" w:hAnsi="Calibri" w:cs="Calibri"/>
          <w:sz w:val="24"/>
          <w:szCs w:val="24"/>
        </w:rPr>
      </w:pPr>
      <w:r w:rsidRPr="0050711F">
        <w:rPr>
          <w:rFonts w:ascii="Calibri" w:hAnsi="Calibri" w:cs="Calibri"/>
          <w:sz w:val="24"/>
          <w:szCs w:val="24"/>
        </w:rPr>
        <w:t xml:space="preserve">3.1 The University is a charity registered in Scotland and complies with the laws and regulations of Scotland. The University has due regard to the CASE Ethical Principles Behind the Acceptance of Gifts in Europe and Guidelines for UK Higher Education Institutions and abides by the Code of Fundraising Practice, which sets the standards that apply to fundraising conducted in the UK.  </w:t>
      </w:r>
    </w:p>
    <w:p w14:paraId="0F6DB895" w14:textId="77777777" w:rsidR="005320E8" w:rsidRDefault="005320E8" w:rsidP="009E75CD">
      <w:pPr>
        <w:ind w:left="142" w:right="686"/>
        <w:jc w:val="both"/>
        <w:rPr>
          <w:rFonts w:ascii="Calibri" w:hAnsi="Calibri" w:cs="Calibri"/>
          <w:sz w:val="24"/>
          <w:szCs w:val="24"/>
        </w:rPr>
      </w:pPr>
    </w:p>
    <w:p w14:paraId="207E7B1B" w14:textId="77777777" w:rsidR="004D106E" w:rsidRDefault="004D106E" w:rsidP="009E75CD">
      <w:pPr>
        <w:ind w:left="142" w:right="686"/>
        <w:jc w:val="both"/>
        <w:rPr>
          <w:rFonts w:ascii="Calibri" w:hAnsi="Calibri" w:cs="Calibri"/>
          <w:sz w:val="24"/>
          <w:szCs w:val="24"/>
        </w:rPr>
      </w:pPr>
    </w:p>
    <w:p w14:paraId="14289DA6" w14:textId="0EB0677A" w:rsidR="0050711F" w:rsidRPr="0050711F" w:rsidRDefault="0050711F" w:rsidP="009E75CD">
      <w:pPr>
        <w:ind w:left="142" w:right="686"/>
        <w:jc w:val="both"/>
        <w:rPr>
          <w:rFonts w:ascii="Calibri" w:hAnsi="Calibri" w:cs="Calibri"/>
          <w:sz w:val="24"/>
          <w:szCs w:val="24"/>
        </w:rPr>
      </w:pPr>
      <w:r w:rsidRPr="0050711F">
        <w:rPr>
          <w:rFonts w:ascii="Calibri" w:hAnsi="Calibri" w:cs="Calibri"/>
          <w:sz w:val="24"/>
          <w:szCs w:val="24"/>
        </w:rPr>
        <w:t xml:space="preserve">3.2 The University complies with section 66(1) of the Charities and Trustee Investment (Scotland) Act 2005, which states that trustees must act in the interests of the Charity.  In line with the Code of Fundraising Practice, donations which otherwise align with the University’s strategic purposes will only be refused or returned in exceptional circumstances.  </w:t>
      </w:r>
    </w:p>
    <w:p w14:paraId="7534B74D" w14:textId="77777777" w:rsidR="0050711F" w:rsidRPr="0050711F" w:rsidRDefault="0050711F" w:rsidP="009E75CD">
      <w:pPr>
        <w:ind w:left="142" w:right="686"/>
        <w:jc w:val="both"/>
        <w:rPr>
          <w:rFonts w:ascii="Calibri" w:hAnsi="Calibri" w:cs="Calibri"/>
          <w:sz w:val="24"/>
          <w:szCs w:val="24"/>
        </w:rPr>
      </w:pPr>
      <w:r w:rsidRPr="0050711F">
        <w:rPr>
          <w:rFonts w:ascii="Calibri" w:hAnsi="Calibri" w:cs="Calibri"/>
          <w:sz w:val="24"/>
          <w:szCs w:val="24"/>
        </w:rPr>
        <w:t xml:space="preserve">3.3 Whilst it is likely that refusal of gifts will be exceptional, the University will not accept gifts which: </w:t>
      </w:r>
    </w:p>
    <w:p w14:paraId="0269088D" w14:textId="5C71C16C" w:rsidR="0050711F" w:rsidRPr="0050711F" w:rsidRDefault="0050711F" w:rsidP="009E75CD">
      <w:pPr>
        <w:ind w:left="709" w:right="686"/>
        <w:jc w:val="both"/>
        <w:rPr>
          <w:rFonts w:ascii="Calibri" w:hAnsi="Calibri" w:cs="Calibri"/>
          <w:sz w:val="24"/>
          <w:szCs w:val="24"/>
        </w:rPr>
      </w:pPr>
      <w:r w:rsidRPr="0050711F">
        <w:rPr>
          <w:rFonts w:ascii="Calibri" w:hAnsi="Calibri" w:cs="Calibri"/>
          <w:sz w:val="24"/>
          <w:szCs w:val="24"/>
        </w:rPr>
        <w:t>• are known to be illegal</w:t>
      </w:r>
    </w:p>
    <w:p w14:paraId="1279BB34" w14:textId="5596E35D" w:rsidR="0050711F" w:rsidRPr="0050711F" w:rsidRDefault="0050711F" w:rsidP="009E75CD">
      <w:pPr>
        <w:ind w:left="709" w:right="686"/>
        <w:jc w:val="both"/>
        <w:rPr>
          <w:rFonts w:ascii="Calibri" w:hAnsi="Calibri" w:cs="Calibri"/>
          <w:sz w:val="24"/>
          <w:szCs w:val="24"/>
        </w:rPr>
      </w:pPr>
      <w:r w:rsidRPr="0050711F">
        <w:rPr>
          <w:rFonts w:ascii="Calibri" w:hAnsi="Calibri" w:cs="Calibri"/>
          <w:sz w:val="24"/>
          <w:szCs w:val="24"/>
        </w:rPr>
        <w:t>• are known to be the result of criminal activity, fraudulent activity or bribery</w:t>
      </w:r>
    </w:p>
    <w:p w14:paraId="630F7349" w14:textId="65E73339" w:rsidR="0050711F" w:rsidRPr="0050711F" w:rsidRDefault="0050711F" w:rsidP="009E75CD">
      <w:pPr>
        <w:ind w:left="709" w:right="686"/>
        <w:jc w:val="both"/>
        <w:rPr>
          <w:rFonts w:ascii="Calibri" w:hAnsi="Calibri" w:cs="Calibri"/>
          <w:sz w:val="24"/>
          <w:szCs w:val="24"/>
        </w:rPr>
      </w:pPr>
      <w:r w:rsidRPr="0050711F">
        <w:rPr>
          <w:rFonts w:ascii="Calibri" w:hAnsi="Calibri" w:cs="Calibri"/>
          <w:sz w:val="24"/>
          <w:szCs w:val="24"/>
        </w:rPr>
        <w:t xml:space="preserve">• do not align with its mission or current strategy </w:t>
      </w:r>
    </w:p>
    <w:p w14:paraId="62C6AD9B" w14:textId="62400540" w:rsidR="0050711F" w:rsidRPr="0050711F" w:rsidRDefault="0050711F" w:rsidP="009E75CD">
      <w:pPr>
        <w:ind w:left="709" w:right="686"/>
        <w:jc w:val="both"/>
        <w:rPr>
          <w:rFonts w:ascii="Calibri" w:hAnsi="Calibri" w:cs="Calibri"/>
          <w:sz w:val="24"/>
          <w:szCs w:val="24"/>
        </w:rPr>
      </w:pPr>
      <w:r w:rsidRPr="0050711F">
        <w:rPr>
          <w:rFonts w:ascii="Calibri" w:hAnsi="Calibri" w:cs="Calibri"/>
          <w:sz w:val="24"/>
          <w:szCs w:val="24"/>
        </w:rPr>
        <w:t>• have unduly onerous terms and conditions, which could cause a disbenefit outweighing the benefit the donation would otherwise bring</w:t>
      </w:r>
    </w:p>
    <w:p w14:paraId="7AFEF756" w14:textId="6B11B118" w:rsidR="0050711F" w:rsidRPr="0050711F" w:rsidRDefault="0050711F" w:rsidP="009E75CD">
      <w:pPr>
        <w:ind w:left="709" w:right="686"/>
        <w:jc w:val="both"/>
        <w:rPr>
          <w:rFonts w:ascii="Calibri" w:hAnsi="Calibri" w:cs="Calibri"/>
          <w:sz w:val="24"/>
          <w:szCs w:val="24"/>
        </w:rPr>
      </w:pPr>
      <w:r w:rsidRPr="0050711F">
        <w:rPr>
          <w:rFonts w:ascii="Calibri" w:hAnsi="Calibri" w:cs="Calibri"/>
          <w:sz w:val="24"/>
          <w:szCs w:val="24"/>
        </w:rPr>
        <w:t xml:space="preserve">• have realistic potential to damage the reputation or interests of the University, including through impact on future income </w:t>
      </w:r>
    </w:p>
    <w:p w14:paraId="22638AE4" w14:textId="1202D267" w:rsidR="0050711F" w:rsidRPr="0050711F" w:rsidRDefault="0050711F" w:rsidP="009E75CD">
      <w:pPr>
        <w:ind w:left="709" w:right="686"/>
        <w:jc w:val="both"/>
        <w:rPr>
          <w:rFonts w:ascii="Calibri" w:hAnsi="Calibri" w:cs="Calibri"/>
          <w:sz w:val="24"/>
          <w:szCs w:val="24"/>
        </w:rPr>
      </w:pPr>
      <w:r w:rsidRPr="0050711F">
        <w:rPr>
          <w:rFonts w:ascii="Calibri" w:hAnsi="Calibri" w:cs="Calibri"/>
          <w:sz w:val="24"/>
          <w:szCs w:val="24"/>
        </w:rPr>
        <w:t>• are from sources which cannot or will not be identified.  To the extent permitted by law, we will respect the wishes of donors who wish to remain externally anonymous; for the purposes of both due diligence and audit compliance, donor identities must be available to appropriate members of the Development team, Donations Review Group, the Chief Operating Officer &amp; University Secretary, the Principal, the Executive Director of CMR and members of the University’s Finance Directorate, as required</w:t>
      </w:r>
    </w:p>
    <w:p w14:paraId="5FD40EFD" w14:textId="0C5A94D6" w:rsidR="0050711F" w:rsidRPr="0050711F" w:rsidRDefault="0050711F" w:rsidP="009E75CD">
      <w:pPr>
        <w:ind w:left="709" w:right="686"/>
        <w:jc w:val="both"/>
        <w:rPr>
          <w:rFonts w:ascii="Calibri" w:hAnsi="Calibri" w:cs="Calibri"/>
          <w:sz w:val="24"/>
          <w:szCs w:val="24"/>
        </w:rPr>
      </w:pPr>
      <w:r w:rsidRPr="0050711F">
        <w:rPr>
          <w:rFonts w:ascii="Calibri" w:hAnsi="Calibri" w:cs="Calibri"/>
          <w:sz w:val="24"/>
          <w:szCs w:val="24"/>
        </w:rPr>
        <w:t>• as per the University’s Ethical Code, are from organisations or industries known to be associated with tobacco or substances which are solely injurious to health, undermine community cohesion, threaten international stability, or which contribute to the development and maintenance of poverty, the abuse of children and the use of torture</w:t>
      </w:r>
    </w:p>
    <w:p w14:paraId="459D72B0" w14:textId="15D10AFF" w:rsidR="0050711F" w:rsidRDefault="0050711F" w:rsidP="009E75CD">
      <w:pPr>
        <w:ind w:left="709" w:right="686"/>
        <w:jc w:val="both"/>
        <w:rPr>
          <w:rFonts w:ascii="Calibri" w:hAnsi="Calibri" w:cs="Calibri"/>
          <w:sz w:val="24"/>
          <w:szCs w:val="24"/>
        </w:rPr>
      </w:pPr>
      <w:r w:rsidRPr="0050711F">
        <w:rPr>
          <w:rFonts w:ascii="Calibri" w:hAnsi="Calibri" w:cs="Calibri"/>
          <w:sz w:val="24"/>
          <w:szCs w:val="24"/>
        </w:rPr>
        <w:t>• are from sources identified in the University’s Socially Responsible Investment Policy as sectors in which the University will avoid investing</w:t>
      </w:r>
    </w:p>
    <w:p w14:paraId="42EB1EA5" w14:textId="77777777" w:rsidR="00A7540A" w:rsidRPr="0050711F" w:rsidRDefault="00A7540A" w:rsidP="009E75CD">
      <w:pPr>
        <w:ind w:right="686"/>
        <w:jc w:val="both"/>
        <w:rPr>
          <w:rFonts w:ascii="Calibri" w:hAnsi="Calibri" w:cs="Calibri"/>
          <w:sz w:val="24"/>
          <w:szCs w:val="24"/>
        </w:rPr>
      </w:pPr>
    </w:p>
    <w:p w14:paraId="444594DE" w14:textId="6C670D5E" w:rsidR="0050711F" w:rsidRPr="0050711F" w:rsidRDefault="0050711F" w:rsidP="009E75CD">
      <w:pPr>
        <w:ind w:right="686"/>
        <w:jc w:val="both"/>
        <w:rPr>
          <w:rFonts w:ascii="Calibri" w:hAnsi="Calibri" w:cs="Calibri"/>
          <w:b/>
          <w:bCs/>
          <w:sz w:val="24"/>
          <w:szCs w:val="24"/>
        </w:rPr>
      </w:pPr>
      <w:r w:rsidRPr="0050711F">
        <w:rPr>
          <w:rFonts w:ascii="Calibri" w:hAnsi="Calibri" w:cs="Calibri"/>
          <w:b/>
          <w:bCs/>
          <w:sz w:val="24"/>
          <w:szCs w:val="24"/>
        </w:rPr>
        <w:t>4.</w:t>
      </w:r>
      <w:r w:rsidR="00797561">
        <w:rPr>
          <w:rFonts w:ascii="Calibri" w:hAnsi="Calibri" w:cs="Calibri"/>
          <w:b/>
          <w:bCs/>
          <w:sz w:val="24"/>
          <w:szCs w:val="24"/>
        </w:rPr>
        <w:t xml:space="preserve"> </w:t>
      </w:r>
      <w:r w:rsidRPr="0050711F">
        <w:rPr>
          <w:rFonts w:ascii="Calibri" w:hAnsi="Calibri" w:cs="Calibri"/>
          <w:b/>
          <w:bCs/>
          <w:sz w:val="24"/>
          <w:szCs w:val="24"/>
        </w:rPr>
        <w:t xml:space="preserve">Responsibility for deciding whether to accept or refuse a gift </w:t>
      </w:r>
    </w:p>
    <w:p w14:paraId="3C6CD4B4" w14:textId="4847F5CA" w:rsidR="0050711F" w:rsidRPr="0050711F" w:rsidRDefault="0050711F" w:rsidP="009E75CD">
      <w:pPr>
        <w:ind w:left="142" w:right="686"/>
        <w:jc w:val="both"/>
        <w:rPr>
          <w:rFonts w:ascii="Calibri" w:hAnsi="Calibri" w:cs="Calibri"/>
          <w:sz w:val="24"/>
          <w:szCs w:val="24"/>
        </w:rPr>
      </w:pPr>
      <w:r w:rsidRPr="0050711F">
        <w:rPr>
          <w:rFonts w:ascii="Calibri" w:hAnsi="Calibri" w:cs="Calibri"/>
          <w:sz w:val="24"/>
          <w:szCs w:val="24"/>
        </w:rPr>
        <w:t>4.1</w:t>
      </w:r>
      <w:r>
        <w:rPr>
          <w:rFonts w:ascii="Calibri" w:hAnsi="Calibri" w:cs="Calibri"/>
          <w:sz w:val="24"/>
          <w:szCs w:val="24"/>
        </w:rPr>
        <w:t xml:space="preserve"> </w:t>
      </w:r>
      <w:r w:rsidRPr="0050711F">
        <w:rPr>
          <w:rFonts w:ascii="Calibri" w:hAnsi="Calibri" w:cs="Calibri"/>
          <w:sz w:val="24"/>
          <w:szCs w:val="24"/>
        </w:rPr>
        <w:t>Gifts will be accepted or declined as follows:</w:t>
      </w:r>
    </w:p>
    <w:p w14:paraId="3628BEE1" w14:textId="7DE95D12" w:rsidR="0050711F" w:rsidRPr="0050711F" w:rsidRDefault="0050711F" w:rsidP="009E75CD">
      <w:pPr>
        <w:ind w:left="709" w:right="686"/>
        <w:jc w:val="both"/>
        <w:rPr>
          <w:rFonts w:ascii="Calibri" w:hAnsi="Calibri" w:cs="Calibri"/>
          <w:sz w:val="24"/>
          <w:szCs w:val="24"/>
        </w:rPr>
      </w:pPr>
      <w:r w:rsidRPr="0050711F">
        <w:rPr>
          <w:rFonts w:ascii="Calibri" w:hAnsi="Calibri" w:cs="Calibri"/>
          <w:sz w:val="24"/>
          <w:szCs w:val="24"/>
        </w:rPr>
        <w:t>• Non-contentious gifts totalling up to £100k in any one financial year from any single source may be accepted or declined by the Director of Development and Alumni Relations</w:t>
      </w:r>
    </w:p>
    <w:p w14:paraId="064F20F2" w14:textId="77777777" w:rsidR="0090249B" w:rsidRDefault="0090249B" w:rsidP="009E75CD">
      <w:pPr>
        <w:ind w:left="709" w:right="686"/>
        <w:jc w:val="both"/>
        <w:rPr>
          <w:rFonts w:ascii="Calibri" w:hAnsi="Calibri" w:cs="Calibri"/>
          <w:sz w:val="24"/>
          <w:szCs w:val="24"/>
        </w:rPr>
      </w:pPr>
    </w:p>
    <w:p w14:paraId="58E10BBF" w14:textId="77777777" w:rsidR="00AF7CEA" w:rsidRDefault="00AF7CEA" w:rsidP="009E75CD">
      <w:pPr>
        <w:ind w:left="709" w:right="686"/>
        <w:jc w:val="both"/>
        <w:rPr>
          <w:rFonts w:ascii="Calibri" w:hAnsi="Calibri" w:cs="Calibri"/>
          <w:sz w:val="24"/>
          <w:szCs w:val="24"/>
        </w:rPr>
      </w:pPr>
    </w:p>
    <w:p w14:paraId="3F6CAABC" w14:textId="1608563C" w:rsidR="0050711F" w:rsidRPr="0050711F" w:rsidRDefault="0050711F" w:rsidP="009E75CD">
      <w:pPr>
        <w:ind w:left="709" w:right="686"/>
        <w:jc w:val="both"/>
        <w:rPr>
          <w:rFonts w:ascii="Calibri" w:hAnsi="Calibri" w:cs="Calibri"/>
          <w:sz w:val="24"/>
          <w:szCs w:val="24"/>
        </w:rPr>
      </w:pPr>
      <w:r w:rsidRPr="0050711F">
        <w:rPr>
          <w:rFonts w:ascii="Calibri" w:hAnsi="Calibri" w:cs="Calibri"/>
          <w:sz w:val="24"/>
          <w:szCs w:val="24"/>
        </w:rPr>
        <w:t>• Contentious gifts, or gifts of over £100k from a single source within one financial year, may be accepted or declined by the Donations Review Group, in consultation with the Executive Director of CMR, the Director of Development and Alumni Relations and the Executive Director of Finance</w:t>
      </w:r>
    </w:p>
    <w:p w14:paraId="46DEB5DA" w14:textId="77086B66" w:rsidR="0050711F" w:rsidRPr="0050711F" w:rsidRDefault="0050711F" w:rsidP="009E75CD">
      <w:pPr>
        <w:ind w:left="142" w:right="686"/>
        <w:jc w:val="both"/>
        <w:rPr>
          <w:rFonts w:ascii="Calibri" w:hAnsi="Calibri" w:cs="Calibri"/>
          <w:sz w:val="24"/>
          <w:szCs w:val="24"/>
        </w:rPr>
      </w:pPr>
      <w:r w:rsidRPr="0050711F">
        <w:rPr>
          <w:rFonts w:ascii="Calibri" w:hAnsi="Calibri" w:cs="Calibri"/>
          <w:sz w:val="24"/>
          <w:szCs w:val="24"/>
        </w:rPr>
        <w:t>4.2 Contentious gifts are those which might reasonably be known or suspected to fall within one of the categories listed at 3.3, supra</w:t>
      </w:r>
      <w:r w:rsidR="00DE68AB">
        <w:rPr>
          <w:rFonts w:ascii="Calibri" w:hAnsi="Calibri" w:cs="Calibri"/>
          <w:sz w:val="24"/>
          <w:szCs w:val="24"/>
        </w:rPr>
        <w:t>.</w:t>
      </w:r>
    </w:p>
    <w:p w14:paraId="5A819A08" w14:textId="2B4E5465" w:rsidR="0050711F" w:rsidRPr="0050711F" w:rsidRDefault="0050711F" w:rsidP="009E75CD">
      <w:pPr>
        <w:ind w:left="142" w:right="686"/>
        <w:jc w:val="both"/>
        <w:rPr>
          <w:rFonts w:ascii="Calibri" w:hAnsi="Calibri" w:cs="Calibri"/>
          <w:sz w:val="24"/>
          <w:szCs w:val="24"/>
        </w:rPr>
      </w:pPr>
      <w:r w:rsidRPr="0050711F">
        <w:rPr>
          <w:rFonts w:ascii="Calibri" w:hAnsi="Calibri" w:cs="Calibri"/>
          <w:sz w:val="24"/>
          <w:szCs w:val="24"/>
        </w:rPr>
        <w:t>4.3 The Donations Review Group will be convened as required and will include those specified by the University’s Schedule of Delegated Authority</w:t>
      </w:r>
      <w:r w:rsidR="00DE68AB">
        <w:rPr>
          <w:rFonts w:ascii="Calibri" w:hAnsi="Calibri" w:cs="Calibri"/>
          <w:sz w:val="24"/>
          <w:szCs w:val="24"/>
        </w:rPr>
        <w:t>.</w:t>
      </w:r>
    </w:p>
    <w:p w14:paraId="2B4E823D" w14:textId="0EB30F01" w:rsidR="0050711F" w:rsidRPr="0050711F" w:rsidRDefault="0050711F" w:rsidP="009E75CD">
      <w:pPr>
        <w:ind w:left="142" w:right="686"/>
        <w:jc w:val="both"/>
        <w:rPr>
          <w:rFonts w:ascii="Calibri" w:hAnsi="Calibri" w:cs="Calibri"/>
          <w:sz w:val="24"/>
          <w:szCs w:val="24"/>
        </w:rPr>
      </w:pPr>
      <w:r w:rsidRPr="0050711F">
        <w:rPr>
          <w:rFonts w:ascii="Calibri" w:hAnsi="Calibri" w:cs="Calibri"/>
          <w:sz w:val="24"/>
          <w:szCs w:val="24"/>
        </w:rPr>
        <w:t xml:space="preserve">4.4 Those taking decisions on gift acceptance must be able to demonstrate that they acted in the best interests of the University and in line with both the Code of Fundraising Practice and section 66(1) of the Charities and Trustee Investment (Scotland) Act 2005.  If appropriate they should take suitable professional advice to assist in making their decision. </w:t>
      </w:r>
    </w:p>
    <w:p w14:paraId="1B042C82" w14:textId="0F9FA272" w:rsidR="0050711F" w:rsidRDefault="0050711F" w:rsidP="009E75CD">
      <w:pPr>
        <w:tabs>
          <w:tab w:val="left" w:pos="8931"/>
        </w:tabs>
        <w:ind w:left="142" w:right="544"/>
        <w:jc w:val="both"/>
        <w:rPr>
          <w:rFonts w:ascii="Calibri" w:hAnsi="Calibri" w:cs="Calibri"/>
          <w:sz w:val="24"/>
          <w:szCs w:val="24"/>
        </w:rPr>
      </w:pPr>
      <w:r w:rsidRPr="0050711F">
        <w:rPr>
          <w:rFonts w:ascii="Calibri" w:hAnsi="Calibri" w:cs="Calibri"/>
          <w:sz w:val="24"/>
          <w:szCs w:val="24"/>
        </w:rPr>
        <w:t xml:space="preserve">Typically, second or later gifts from a donor whose first donation has already been reviewed by the Donations Review Group do not require additional due diligence or review. However, if new details emerge, the Director of Development and Alumni Relations may decide to send the donor’s case back to the Donations Review Group for further consideration. </w:t>
      </w:r>
    </w:p>
    <w:p w14:paraId="0DE239A4" w14:textId="77777777" w:rsidR="00A7540A" w:rsidRPr="0050711F" w:rsidRDefault="00A7540A" w:rsidP="009E75CD">
      <w:pPr>
        <w:ind w:right="686"/>
        <w:jc w:val="both"/>
        <w:rPr>
          <w:rFonts w:ascii="Calibri" w:hAnsi="Calibri" w:cs="Calibri"/>
          <w:sz w:val="24"/>
          <w:szCs w:val="24"/>
        </w:rPr>
      </w:pPr>
    </w:p>
    <w:p w14:paraId="0B88941E" w14:textId="5B675C15" w:rsidR="0050711F" w:rsidRPr="0050711F" w:rsidRDefault="0050711F" w:rsidP="009E75CD">
      <w:pPr>
        <w:ind w:right="686"/>
        <w:jc w:val="both"/>
        <w:rPr>
          <w:rFonts w:ascii="Calibri" w:hAnsi="Calibri" w:cs="Calibri"/>
          <w:b/>
          <w:bCs/>
          <w:sz w:val="24"/>
          <w:szCs w:val="24"/>
        </w:rPr>
      </w:pPr>
      <w:r w:rsidRPr="0050711F">
        <w:rPr>
          <w:rFonts w:ascii="Calibri" w:hAnsi="Calibri" w:cs="Calibri"/>
          <w:b/>
          <w:bCs/>
          <w:sz w:val="24"/>
          <w:szCs w:val="24"/>
        </w:rPr>
        <w:t>5.</w:t>
      </w:r>
      <w:r w:rsidR="00797561">
        <w:rPr>
          <w:rFonts w:ascii="Calibri" w:hAnsi="Calibri" w:cs="Calibri"/>
          <w:b/>
          <w:bCs/>
          <w:sz w:val="24"/>
          <w:szCs w:val="24"/>
        </w:rPr>
        <w:t xml:space="preserve"> </w:t>
      </w:r>
      <w:r w:rsidRPr="0050711F">
        <w:rPr>
          <w:rFonts w:ascii="Calibri" w:hAnsi="Calibri" w:cs="Calibri"/>
          <w:b/>
          <w:bCs/>
          <w:sz w:val="24"/>
          <w:szCs w:val="24"/>
        </w:rPr>
        <w:t>Procedures for acceptance/refusal of gifts</w:t>
      </w:r>
    </w:p>
    <w:p w14:paraId="11A703A4" w14:textId="77777777" w:rsidR="0050711F" w:rsidRPr="0050711F" w:rsidRDefault="0050711F" w:rsidP="009E75CD">
      <w:pPr>
        <w:ind w:left="142" w:right="686"/>
        <w:jc w:val="both"/>
        <w:rPr>
          <w:rFonts w:ascii="Calibri" w:hAnsi="Calibri" w:cs="Calibri"/>
          <w:sz w:val="24"/>
          <w:szCs w:val="24"/>
        </w:rPr>
      </w:pPr>
      <w:r w:rsidRPr="0050711F">
        <w:rPr>
          <w:rFonts w:ascii="Calibri" w:hAnsi="Calibri" w:cs="Calibri"/>
          <w:sz w:val="24"/>
          <w:szCs w:val="24"/>
        </w:rPr>
        <w:t>5.1 For legal, audit and assurance purposes, it is mandatory that all philanthropic gifts are reported to and coordinated by the Development team.</w:t>
      </w:r>
    </w:p>
    <w:p w14:paraId="4F435BA8" w14:textId="77777777" w:rsidR="0050711F" w:rsidRPr="0050711F" w:rsidRDefault="0050711F" w:rsidP="009E75CD">
      <w:pPr>
        <w:ind w:left="142" w:right="686"/>
        <w:jc w:val="both"/>
        <w:rPr>
          <w:rFonts w:ascii="Calibri" w:hAnsi="Calibri" w:cs="Calibri"/>
          <w:sz w:val="24"/>
          <w:szCs w:val="24"/>
        </w:rPr>
      </w:pPr>
      <w:r w:rsidRPr="0050711F">
        <w:rPr>
          <w:rFonts w:ascii="Calibri" w:hAnsi="Calibri" w:cs="Calibri"/>
          <w:sz w:val="24"/>
          <w:szCs w:val="24"/>
        </w:rPr>
        <w:t>5.2 Where there are reasonable grounds for concern that an offered gift may fall within the categories which the University will not accept, the Development team will undertake a due diligence exercise to gather material information.  Due diligence will be carried out with the tools and resources made reasonably available to the Development and Alumni team.</w:t>
      </w:r>
    </w:p>
    <w:p w14:paraId="662014E5" w14:textId="77777777" w:rsidR="0050711F" w:rsidRPr="0050711F" w:rsidRDefault="0050711F" w:rsidP="009E75CD">
      <w:pPr>
        <w:ind w:left="142" w:right="686"/>
        <w:jc w:val="both"/>
        <w:rPr>
          <w:rFonts w:ascii="Calibri" w:hAnsi="Calibri" w:cs="Calibri"/>
          <w:sz w:val="24"/>
          <w:szCs w:val="24"/>
        </w:rPr>
      </w:pPr>
      <w:r w:rsidRPr="0050711F">
        <w:rPr>
          <w:rFonts w:ascii="Calibri" w:hAnsi="Calibri" w:cs="Calibri"/>
          <w:sz w:val="24"/>
          <w:szCs w:val="24"/>
        </w:rPr>
        <w:t>5.3 Factors which might warrant such a due diligence exercise include:</w:t>
      </w:r>
    </w:p>
    <w:p w14:paraId="77CE7F5D" w14:textId="459AC710" w:rsidR="0050711F" w:rsidRPr="0050711F" w:rsidRDefault="0050711F" w:rsidP="001C2B7A">
      <w:pPr>
        <w:ind w:left="709" w:right="686"/>
        <w:jc w:val="both"/>
        <w:rPr>
          <w:rFonts w:ascii="Calibri" w:hAnsi="Calibri" w:cs="Calibri"/>
          <w:sz w:val="24"/>
          <w:szCs w:val="24"/>
        </w:rPr>
      </w:pPr>
      <w:r w:rsidRPr="0050711F">
        <w:rPr>
          <w:rFonts w:ascii="Calibri" w:hAnsi="Calibri" w:cs="Calibri"/>
          <w:sz w:val="24"/>
          <w:szCs w:val="24"/>
        </w:rPr>
        <w:t>• the offer of a gift of over £100,000</w:t>
      </w:r>
    </w:p>
    <w:p w14:paraId="47F8FB63" w14:textId="16CFF200" w:rsidR="0050711F" w:rsidRPr="0050711F" w:rsidRDefault="0050711F" w:rsidP="001C2B7A">
      <w:pPr>
        <w:ind w:left="709" w:right="686"/>
        <w:jc w:val="both"/>
        <w:rPr>
          <w:rFonts w:ascii="Calibri" w:hAnsi="Calibri" w:cs="Calibri"/>
          <w:sz w:val="24"/>
          <w:szCs w:val="24"/>
        </w:rPr>
      </w:pPr>
      <w:r w:rsidRPr="0050711F">
        <w:rPr>
          <w:rFonts w:ascii="Calibri" w:hAnsi="Calibri" w:cs="Calibri"/>
          <w:sz w:val="24"/>
          <w:szCs w:val="24"/>
        </w:rPr>
        <w:t>• gifts made in cryptocurrency</w:t>
      </w:r>
    </w:p>
    <w:p w14:paraId="35D0CE52" w14:textId="4FE68FDA" w:rsidR="0050711F" w:rsidRPr="0050711F" w:rsidRDefault="0050711F" w:rsidP="001C2B7A">
      <w:pPr>
        <w:ind w:left="709" w:right="686"/>
        <w:jc w:val="both"/>
        <w:rPr>
          <w:rFonts w:ascii="Calibri" w:hAnsi="Calibri" w:cs="Calibri"/>
          <w:sz w:val="24"/>
          <w:szCs w:val="24"/>
        </w:rPr>
      </w:pPr>
      <w:r w:rsidRPr="0050711F">
        <w:rPr>
          <w:rFonts w:ascii="Calibri" w:hAnsi="Calibri" w:cs="Calibri"/>
          <w:sz w:val="24"/>
          <w:szCs w:val="24"/>
        </w:rPr>
        <w:t>• gifts made by individuals or organisations with links to industries which may appear contentious or controversial</w:t>
      </w:r>
    </w:p>
    <w:p w14:paraId="2687F2F6" w14:textId="6172FCFE" w:rsidR="0050711F" w:rsidRPr="0050711F" w:rsidRDefault="0050711F" w:rsidP="001C2B7A">
      <w:pPr>
        <w:ind w:left="709" w:right="686"/>
        <w:jc w:val="both"/>
        <w:rPr>
          <w:rFonts w:ascii="Calibri" w:hAnsi="Calibri" w:cs="Calibri"/>
          <w:sz w:val="24"/>
          <w:szCs w:val="24"/>
        </w:rPr>
      </w:pPr>
      <w:r w:rsidRPr="0050711F">
        <w:rPr>
          <w:rFonts w:ascii="Calibri" w:hAnsi="Calibri" w:cs="Calibri"/>
          <w:sz w:val="24"/>
          <w:szCs w:val="24"/>
        </w:rPr>
        <w:t xml:space="preserve">• gifts where the ultimate derivation of funding offered is obscure </w:t>
      </w:r>
    </w:p>
    <w:p w14:paraId="161DA5BE" w14:textId="77777777" w:rsidR="00C91FCC" w:rsidRDefault="00C91FCC" w:rsidP="009E75CD">
      <w:pPr>
        <w:ind w:left="142" w:right="686"/>
        <w:jc w:val="both"/>
        <w:rPr>
          <w:rFonts w:ascii="Calibri" w:hAnsi="Calibri" w:cs="Calibri"/>
          <w:sz w:val="24"/>
          <w:szCs w:val="24"/>
        </w:rPr>
      </w:pPr>
    </w:p>
    <w:p w14:paraId="5B8F8732" w14:textId="77777777" w:rsidR="006C72E9" w:rsidRDefault="006C72E9" w:rsidP="009E75CD">
      <w:pPr>
        <w:ind w:left="142" w:right="686"/>
        <w:jc w:val="both"/>
        <w:rPr>
          <w:rFonts w:ascii="Calibri" w:hAnsi="Calibri" w:cs="Calibri"/>
          <w:sz w:val="24"/>
          <w:szCs w:val="24"/>
        </w:rPr>
      </w:pPr>
    </w:p>
    <w:p w14:paraId="223AD97F" w14:textId="77777777" w:rsidR="0042095B" w:rsidRDefault="0042095B" w:rsidP="009E75CD">
      <w:pPr>
        <w:ind w:left="142" w:right="686"/>
        <w:jc w:val="both"/>
        <w:rPr>
          <w:rFonts w:ascii="Calibri" w:hAnsi="Calibri" w:cs="Calibri"/>
          <w:sz w:val="24"/>
          <w:szCs w:val="24"/>
        </w:rPr>
      </w:pPr>
    </w:p>
    <w:p w14:paraId="6FE2845F" w14:textId="77777777" w:rsidR="004D03A4" w:rsidRDefault="0050711F" w:rsidP="004D03A4">
      <w:r w:rsidRPr="0050711F">
        <w:rPr>
          <w:rFonts w:ascii="Calibri" w:hAnsi="Calibri" w:cs="Calibri"/>
          <w:sz w:val="24"/>
          <w:szCs w:val="24"/>
        </w:rPr>
        <w:t xml:space="preserve">5.4 </w:t>
      </w:r>
      <w:r w:rsidR="004D03A4">
        <w:t>Following a due diligence exercise:</w:t>
      </w:r>
    </w:p>
    <w:p w14:paraId="5FFD3655" w14:textId="77777777" w:rsidR="004D03A4" w:rsidRDefault="004D03A4" w:rsidP="004D03A4">
      <w:pPr>
        <w:pStyle w:val="ListParagraph"/>
        <w:numPr>
          <w:ilvl w:val="0"/>
          <w:numId w:val="2"/>
        </w:numPr>
        <w:spacing w:line="278" w:lineRule="auto"/>
      </w:pPr>
      <w:r>
        <w:t>Gifts of up to £100k which do not appear to be contentious will be accepted</w:t>
      </w:r>
    </w:p>
    <w:p w14:paraId="101A449B" w14:textId="77777777" w:rsidR="004D03A4" w:rsidRDefault="004D03A4" w:rsidP="004D03A4">
      <w:pPr>
        <w:pStyle w:val="ListParagraph"/>
        <w:numPr>
          <w:ilvl w:val="0"/>
          <w:numId w:val="2"/>
        </w:numPr>
        <w:spacing w:line="278" w:lineRule="auto"/>
      </w:pPr>
      <w:r>
        <w:t xml:space="preserve">Gifts of under £100k which appear to be contentious, or to have contentious factors, will be referred to the Donations Review Group </w:t>
      </w:r>
    </w:p>
    <w:p w14:paraId="279E1735" w14:textId="5DA73D5C" w:rsidR="00C74EA3" w:rsidRPr="004D03A4" w:rsidRDefault="004D03A4" w:rsidP="004D03A4">
      <w:pPr>
        <w:pStyle w:val="ListParagraph"/>
        <w:numPr>
          <w:ilvl w:val="0"/>
          <w:numId w:val="2"/>
        </w:numPr>
        <w:spacing w:line="278" w:lineRule="auto"/>
      </w:pPr>
      <w:r>
        <w:t>Gifts of over £100k will be referred to the Donations Review Group whether contentious or not.</w:t>
      </w:r>
    </w:p>
    <w:p w14:paraId="07879905" w14:textId="0F576A85" w:rsidR="0050711F" w:rsidRPr="0050711F" w:rsidRDefault="0050711F" w:rsidP="009E75CD">
      <w:pPr>
        <w:ind w:left="142" w:right="686"/>
        <w:jc w:val="both"/>
        <w:rPr>
          <w:rFonts w:ascii="Calibri" w:hAnsi="Calibri" w:cs="Calibri"/>
          <w:sz w:val="24"/>
          <w:szCs w:val="24"/>
        </w:rPr>
      </w:pPr>
      <w:r w:rsidRPr="0050711F">
        <w:rPr>
          <w:rFonts w:ascii="Calibri" w:hAnsi="Calibri" w:cs="Calibri"/>
          <w:sz w:val="24"/>
          <w:szCs w:val="24"/>
        </w:rPr>
        <w:t>5.5 If convened, the Donations Review Group will consider whether to accept or refuse the gift based on the considerations outlined in 3.3 and will document its decision appropriately.  Should the decision required exceed the limits of the Group’s delegated authority, or should the Group find itself unable to reach a decision, the matter will be referred to a sub-group comprising the Principal, the Chief Operating Officer &amp; University Secretary, Executive Director of CMR and Chair of Court.</w:t>
      </w:r>
    </w:p>
    <w:p w14:paraId="197C024D" w14:textId="7A279FAA" w:rsidR="0050711F" w:rsidRDefault="0050711F" w:rsidP="009E75CD">
      <w:pPr>
        <w:ind w:left="142" w:right="686"/>
        <w:jc w:val="both"/>
        <w:rPr>
          <w:rFonts w:ascii="Calibri" w:hAnsi="Calibri" w:cs="Calibri"/>
          <w:sz w:val="24"/>
          <w:szCs w:val="24"/>
        </w:rPr>
      </w:pPr>
      <w:r w:rsidRPr="0050711F">
        <w:rPr>
          <w:rFonts w:ascii="Calibri" w:hAnsi="Calibri" w:cs="Calibri"/>
          <w:sz w:val="24"/>
          <w:szCs w:val="24"/>
        </w:rPr>
        <w:t xml:space="preserve">5.6 If accepted, a gift will be received, recorded, receipted and reported in line with all other gifts; a Gift Agreement will be drawn up and signed if appropriate.  If refused, the Director of Development and Alumni Relations will advise the prospective donor.  </w:t>
      </w:r>
    </w:p>
    <w:p w14:paraId="7358A56D" w14:textId="77777777" w:rsidR="00A7540A" w:rsidRPr="0050711F" w:rsidRDefault="00A7540A" w:rsidP="009E75CD">
      <w:pPr>
        <w:ind w:left="142" w:right="686"/>
        <w:jc w:val="both"/>
        <w:rPr>
          <w:rFonts w:ascii="Calibri" w:hAnsi="Calibri" w:cs="Calibri"/>
          <w:sz w:val="24"/>
          <w:szCs w:val="24"/>
        </w:rPr>
      </w:pPr>
    </w:p>
    <w:p w14:paraId="45710888" w14:textId="0893787C" w:rsidR="0050711F" w:rsidRPr="0050711F" w:rsidRDefault="0050711F" w:rsidP="009E75CD">
      <w:pPr>
        <w:ind w:right="686"/>
        <w:jc w:val="both"/>
        <w:rPr>
          <w:rFonts w:ascii="Calibri" w:hAnsi="Calibri" w:cs="Calibri"/>
          <w:b/>
          <w:bCs/>
          <w:sz w:val="24"/>
          <w:szCs w:val="24"/>
        </w:rPr>
      </w:pPr>
      <w:r w:rsidRPr="0050711F">
        <w:rPr>
          <w:rFonts w:ascii="Calibri" w:hAnsi="Calibri" w:cs="Calibri"/>
          <w:b/>
          <w:bCs/>
          <w:sz w:val="24"/>
          <w:szCs w:val="24"/>
        </w:rPr>
        <w:t>6.</w:t>
      </w:r>
      <w:r w:rsidR="00797561">
        <w:rPr>
          <w:rFonts w:ascii="Calibri" w:hAnsi="Calibri" w:cs="Calibri"/>
          <w:b/>
          <w:bCs/>
          <w:sz w:val="24"/>
          <w:szCs w:val="24"/>
        </w:rPr>
        <w:t xml:space="preserve"> </w:t>
      </w:r>
      <w:r w:rsidRPr="0050711F">
        <w:rPr>
          <w:rFonts w:ascii="Calibri" w:hAnsi="Calibri" w:cs="Calibri"/>
          <w:b/>
          <w:bCs/>
          <w:sz w:val="24"/>
          <w:szCs w:val="24"/>
        </w:rPr>
        <w:t>Gifts of Art, Archives and Gifts in Kind</w:t>
      </w:r>
    </w:p>
    <w:p w14:paraId="138765E2" w14:textId="5D253C0F" w:rsidR="0050711F" w:rsidRDefault="0050711F" w:rsidP="009E75CD">
      <w:pPr>
        <w:ind w:left="284" w:right="686"/>
        <w:jc w:val="both"/>
        <w:rPr>
          <w:rFonts w:ascii="Calibri" w:hAnsi="Calibri" w:cs="Calibri"/>
          <w:sz w:val="24"/>
          <w:szCs w:val="24"/>
        </w:rPr>
      </w:pPr>
      <w:r w:rsidRPr="0050711F">
        <w:rPr>
          <w:rFonts w:ascii="Calibri" w:hAnsi="Calibri" w:cs="Calibri"/>
          <w:sz w:val="24"/>
          <w:szCs w:val="24"/>
        </w:rPr>
        <w:t xml:space="preserve">6.1 Gifts to the Art Collection should follow the guidelines above but must also comply with the University’s Acquisition of Art policy.  Similarly, gifts to the Archives must additionally comply with the Archives Policy, and gifts of books must additionally comply with the Library’s Collection Policy. Other similar gifts in kind will be considered on a case-by-case basis. </w:t>
      </w:r>
    </w:p>
    <w:p w14:paraId="6A86131E" w14:textId="77777777" w:rsidR="00A7540A" w:rsidRPr="0050711F" w:rsidRDefault="00A7540A" w:rsidP="009E75CD">
      <w:pPr>
        <w:ind w:right="686"/>
        <w:jc w:val="both"/>
        <w:rPr>
          <w:rFonts w:ascii="Calibri" w:hAnsi="Calibri" w:cs="Calibri"/>
          <w:sz w:val="24"/>
          <w:szCs w:val="24"/>
        </w:rPr>
      </w:pPr>
    </w:p>
    <w:p w14:paraId="3A745714" w14:textId="0587C5B4" w:rsidR="0050711F" w:rsidRPr="0050711F" w:rsidRDefault="0050711F" w:rsidP="009E75CD">
      <w:pPr>
        <w:ind w:right="686"/>
        <w:jc w:val="both"/>
        <w:rPr>
          <w:rFonts w:ascii="Calibri" w:hAnsi="Calibri" w:cs="Calibri"/>
          <w:b/>
          <w:bCs/>
          <w:sz w:val="24"/>
          <w:szCs w:val="24"/>
        </w:rPr>
      </w:pPr>
      <w:r w:rsidRPr="0050711F">
        <w:rPr>
          <w:rFonts w:ascii="Calibri" w:hAnsi="Calibri" w:cs="Calibri"/>
          <w:b/>
          <w:bCs/>
          <w:sz w:val="24"/>
          <w:szCs w:val="24"/>
        </w:rPr>
        <w:t>7.</w:t>
      </w:r>
      <w:r w:rsidR="00797561">
        <w:rPr>
          <w:rFonts w:ascii="Calibri" w:hAnsi="Calibri" w:cs="Calibri"/>
          <w:b/>
          <w:bCs/>
          <w:sz w:val="24"/>
          <w:szCs w:val="24"/>
        </w:rPr>
        <w:t xml:space="preserve"> </w:t>
      </w:r>
      <w:r w:rsidRPr="0050711F">
        <w:rPr>
          <w:rFonts w:ascii="Calibri" w:hAnsi="Calibri" w:cs="Calibri"/>
          <w:b/>
          <w:bCs/>
          <w:sz w:val="24"/>
          <w:szCs w:val="24"/>
        </w:rPr>
        <w:t>Complaints</w:t>
      </w:r>
      <w:r w:rsidRPr="0050711F">
        <w:rPr>
          <w:rFonts w:ascii="Calibri" w:hAnsi="Calibri" w:cs="Calibri"/>
          <w:b/>
          <w:bCs/>
          <w:sz w:val="24"/>
          <w:szCs w:val="24"/>
        </w:rPr>
        <w:tab/>
      </w:r>
    </w:p>
    <w:p w14:paraId="7AE71522" w14:textId="787DFCAA" w:rsidR="0050711F" w:rsidRDefault="0050711F" w:rsidP="009E75CD">
      <w:pPr>
        <w:ind w:left="142" w:right="686"/>
        <w:jc w:val="both"/>
        <w:rPr>
          <w:rFonts w:ascii="Calibri" w:hAnsi="Calibri" w:cs="Calibri"/>
          <w:sz w:val="24"/>
          <w:szCs w:val="24"/>
        </w:rPr>
      </w:pPr>
      <w:r w:rsidRPr="0050711F">
        <w:rPr>
          <w:rFonts w:ascii="Calibri" w:hAnsi="Calibri" w:cs="Calibri"/>
          <w:sz w:val="24"/>
          <w:szCs w:val="24"/>
        </w:rPr>
        <w:t>7.1 Complaints relating to the acceptance or refusal of gifts will be dealt with in line with the University’s Complaints Handling Procedure.</w:t>
      </w:r>
    </w:p>
    <w:p w14:paraId="52C60552" w14:textId="77777777" w:rsidR="00A7540A" w:rsidRPr="0050711F" w:rsidRDefault="00A7540A" w:rsidP="009E75CD">
      <w:pPr>
        <w:ind w:right="686"/>
        <w:jc w:val="both"/>
        <w:rPr>
          <w:rFonts w:ascii="Calibri" w:hAnsi="Calibri" w:cs="Calibri"/>
          <w:sz w:val="24"/>
          <w:szCs w:val="24"/>
        </w:rPr>
      </w:pPr>
    </w:p>
    <w:p w14:paraId="0E22C5B2" w14:textId="0B37B48B" w:rsidR="0050711F" w:rsidRPr="0050711F" w:rsidRDefault="0050711F" w:rsidP="009E75CD">
      <w:pPr>
        <w:ind w:right="686"/>
        <w:jc w:val="both"/>
        <w:rPr>
          <w:rFonts w:ascii="Calibri" w:hAnsi="Calibri" w:cs="Calibri"/>
          <w:b/>
          <w:bCs/>
          <w:sz w:val="24"/>
          <w:szCs w:val="24"/>
        </w:rPr>
      </w:pPr>
      <w:r w:rsidRPr="0050711F">
        <w:rPr>
          <w:rFonts w:ascii="Calibri" w:hAnsi="Calibri" w:cs="Calibri"/>
          <w:b/>
          <w:bCs/>
          <w:sz w:val="24"/>
          <w:szCs w:val="24"/>
        </w:rPr>
        <w:t>8.</w:t>
      </w:r>
      <w:r w:rsidR="00797561">
        <w:rPr>
          <w:rFonts w:ascii="Calibri" w:hAnsi="Calibri" w:cs="Calibri"/>
          <w:b/>
          <w:bCs/>
          <w:sz w:val="24"/>
          <w:szCs w:val="24"/>
        </w:rPr>
        <w:t xml:space="preserve"> </w:t>
      </w:r>
      <w:r w:rsidRPr="0050711F">
        <w:rPr>
          <w:rFonts w:ascii="Calibri" w:hAnsi="Calibri" w:cs="Calibri"/>
          <w:b/>
          <w:bCs/>
          <w:sz w:val="24"/>
          <w:szCs w:val="24"/>
        </w:rPr>
        <w:t xml:space="preserve">Monitoring </w:t>
      </w:r>
    </w:p>
    <w:p w14:paraId="1199F587" w14:textId="1452F135" w:rsidR="0050711F" w:rsidRDefault="0050711F" w:rsidP="009E75CD">
      <w:pPr>
        <w:ind w:left="142" w:right="686"/>
        <w:jc w:val="both"/>
        <w:rPr>
          <w:rFonts w:ascii="Calibri" w:hAnsi="Calibri" w:cs="Calibri"/>
          <w:sz w:val="24"/>
          <w:szCs w:val="24"/>
        </w:rPr>
      </w:pPr>
      <w:r>
        <w:rPr>
          <w:rFonts w:ascii="Calibri" w:hAnsi="Calibri" w:cs="Calibri"/>
          <w:sz w:val="24"/>
          <w:szCs w:val="24"/>
        </w:rPr>
        <w:t>8</w:t>
      </w:r>
      <w:r w:rsidRPr="0050711F">
        <w:rPr>
          <w:rFonts w:ascii="Calibri" w:hAnsi="Calibri" w:cs="Calibri"/>
          <w:sz w:val="24"/>
          <w:szCs w:val="24"/>
        </w:rPr>
        <w:t xml:space="preserve">.1 The Director of Development and Alumni Relations will present an annual report on gifts refused to the Donations Review Group. </w:t>
      </w:r>
    </w:p>
    <w:p w14:paraId="171F879F" w14:textId="77777777" w:rsidR="00A7540A" w:rsidRPr="0050711F" w:rsidRDefault="00A7540A" w:rsidP="009E75CD">
      <w:pPr>
        <w:ind w:right="686"/>
        <w:jc w:val="both"/>
        <w:rPr>
          <w:rFonts w:ascii="Calibri" w:hAnsi="Calibri" w:cs="Calibri"/>
          <w:sz w:val="24"/>
          <w:szCs w:val="24"/>
        </w:rPr>
      </w:pPr>
    </w:p>
    <w:p w14:paraId="5A6CF61C" w14:textId="48547D37" w:rsidR="0050711F" w:rsidRPr="0050711F" w:rsidRDefault="0050711F" w:rsidP="009E75CD">
      <w:pPr>
        <w:ind w:right="686"/>
        <w:jc w:val="both"/>
        <w:rPr>
          <w:rFonts w:ascii="Calibri" w:hAnsi="Calibri" w:cs="Calibri"/>
          <w:b/>
          <w:bCs/>
          <w:sz w:val="24"/>
          <w:szCs w:val="24"/>
        </w:rPr>
      </w:pPr>
      <w:r w:rsidRPr="0050711F">
        <w:rPr>
          <w:rFonts w:ascii="Calibri" w:hAnsi="Calibri" w:cs="Calibri"/>
          <w:b/>
          <w:bCs/>
          <w:sz w:val="24"/>
          <w:szCs w:val="24"/>
        </w:rPr>
        <w:t>9</w:t>
      </w:r>
      <w:r w:rsidR="00797561">
        <w:rPr>
          <w:rFonts w:ascii="Calibri" w:hAnsi="Calibri" w:cs="Calibri"/>
          <w:b/>
          <w:bCs/>
          <w:sz w:val="24"/>
          <w:szCs w:val="24"/>
        </w:rPr>
        <w:t xml:space="preserve">. </w:t>
      </w:r>
      <w:r w:rsidRPr="0050711F">
        <w:rPr>
          <w:rFonts w:ascii="Calibri" w:hAnsi="Calibri" w:cs="Calibri"/>
          <w:b/>
          <w:bCs/>
          <w:sz w:val="24"/>
          <w:szCs w:val="24"/>
        </w:rPr>
        <w:t>Review</w:t>
      </w:r>
    </w:p>
    <w:p w14:paraId="212A879C" w14:textId="6E33BB09" w:rsidR="0050711F" w:rsidRPr="0050711F" w:rsidRDefault="0050711F" w:rsidP="009E75CD">
      <w:pPr>
        <w:ind w:right="686"/>
        <w:jc w:val="both"/>
        <w:rPr>
          <w:rFonts w:ascii="Calibri" w:hAnsi="Calibri" w:cs="Calibri"/>
          <w:sz w:val="24"/>
          <w:szCs w:val="24"/>
        </w:rPr>
      </w:pPr>
      <w:r w:rsidRPr="0050711F">
        <w:rPr>
          <w:rFonts w:ascii="Calibri" w:hAnsi="Calibri" w:cs="Calibri"/>
          <w:sz w:val="24"/>
          <w:szCs w:val="24"/>
        </w:rPr>
        <w:lastRenderedPageBreak/>
        <w:t xml:space="preserve">This policy will be reviewed every three years, or </w:t>
      </w:r>
      <w:r w:rsidR="00A7540A" w:rsidRPr="0050711F">
        <w:rPr>
          <w:rFonts w:ascii="Calibri" w:hAnsi="Calibri" w:cs="Calibri"/>
          <w:sz w:val="24"/>
          <w:szCs w:val="24"/>
        </w:rPr>
        <w:t>sooner</w:t>
      </w:r>
      <w:r w:rsidR="001C2B7A">
        <w:rPr>
          <w:rFonts w:ascii="Calibri" w:hAnsi="Calibri" w:cs="Calibri"/>
          <w:sz w:val="24"/>
          <w:szCs w:val="24"/>
        </w:rPr>
        <w:t xml:space="preserve"> </w:t>
      </w:r>
      <w:r w:rsidRPr="0050711F">
        <w:rPr>
          <w:rFonts w:ascii="Calibri" w:hAnsi="Calibri" w:cs="Calibri"/>
          <w:sz w:val="24"/>
          <w:szCs w:val="24"/>
        </w:rPr>
        <w:t xml:space="preserve">if necessary, </w:t>
      </w:r>
      <w:r w:rsidR="001C2B7A">
        <w:rPr>
          <w:rFonts w:ascii="Calibri" w:hAnsi="Calibri" w:cs="Calibri"/>
          <w:sz w:val="24"/>
          <w:szCs w:val="24"/>
        </w:rPr>
        <w:t>or</w:t>
      </w:r>
      <w:r w:rsidRPr="0050711F">
        <w:rPr>
          <w:rFonts w:ascii="Calibri" w:hAnsi="Calibri" w:cs="Calibri"/>
          <w:sz w:val="24"/>
          <w:szCs w:val="24"/>
        </w:rPr>
        <w:t xml:space="preserve"> a result of changes to legislation or related policy.  </w:t>
      </w:r>
    </w:p>
    <w:p w14:paraId="25C982F4" w14:textId="77777777" w:rsidR="00EA73CC" w:rsidRDefault="00EA73CC" w:rsidP="009E75CD">
      <w:pPr>
        <w:ind w:right="686"/>
        <w:jc w:val="both"/>
      </w:pPr>
    </w:p>
    <w:sectPr w:rsidR="00EA73CC" w:rsidSect="00A7540A">
      <w:pgSz w:w="11906" w:h="16838"/>
      <w:pgMar w:top="1418" w:right="991"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96995" w14:textId="77777777" w:rsidR="0096702E" w:rsidRDefault="0096702E" w:rsidP="00A92BD0">
      <w:pPr>
        <w:spacing w:after="0" w:line="240" w:lineRule="auto"/>
      </w:pPr>
      <w:r>
        <w:separator/>
      </w:r>
    </w:p>
  </w:endnote>
  <w:endnote w:type="continuationSeparator" w:id="0">
    <w:p w14:paraId="332C5F1D" w14:textId="77777777" w:rsidR="0096702E" w:rsidRDefault="0096702E" w:rsidP="00A92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C1503" w14:textId="77777777" w:rsidR="0096702E" w:rsidRDefault="0096702E" w:rsidP="00A92BD0">
      <w:pPr>
        <w:spacing w:after="0" w:line="240" w:lineRule="auto"/>
      </w:pPr>
      <w:r>
        <w:separator/>
      </w:r>
    </w:p>
  </w:footnote>
  <w:footnote w:type="continuationSeparator" w:id="0">
    <w:p w14:paraId="4FB3859D" w14:textId="77777777" w:rsidR="0096702E" w:rsidRDefault="0096702E" w:rsidP="00A92B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658EF"/>
    <w:multiLevelType w:val="hybridMultilevel"/>
    <w:tmpl w:val="08BED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52739A"/>
    <w:multiLevelType w:val="hybridMultilevel"/>
    <w:tmpl w:val="77D83F3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062603673">
    <w:abstractNumId w:val="1"/>
  </w:num>
  <w:num w:numId="2" w16cid:durableId="749355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11F"/>
    <w:rsid w:val="000A5F93"/>
    <w:rsid w:val="000D70B2"/>
    <w:rsid w:val="001C2B7A"/>
    <w:rsid w:val="00200D37"/>
    <w:rsid w:val="00304184"/>
    <w:rsid w:val="00392C12"/>
    <w:rsid w:val="004138EA"/>
    <w:rsid w:val="0042095B"/>
    <w:rsid w:val="004515B5"/>
    <w:rsid w:val="00490AF8"/>
    <w:rsid w:val="004D03A4"/>
    <w:rsid w:val="004D106E"/>
    <w:rsid w:val="0050711F"/>
    <w:rsid w:val="005320E8"/>
    <w:rsid w:val="00542B6F"/>
    <w:rsid w:val="005524B2"/>
    <w:rsid w:val="00553414"/>
    <w:rsid w:val="00594F0A"/>
    <w:rsid w:val="006703D0"/>
    <w:rsid w:val="006B10DE"/>
    <w:rsid w:val="006C72E9"/>
    <w:rsid w:val="0072247B"/>
    <w:rsid w:val="0076262B"/>
    <w:rsid w:val="0079236E"/>
    <w:rsid w:val="00797561"/>
    <w:rsid w:val="007C79E7"/>
    <w:rsid w:val="007E709E"/>
    <w:rsid w:val="00853833"/>
    <w:rsid w:val="008B42D5"/>
    <w:rsid w:val="0090249B"/>
    <w:rsid w:val="00903373"/>
    <w:rsid w:val="0096702E"/>
    <w:rsid w:val="009A35DB"/>
    <w:rsid w:val="009E75CD"/>
    <w:rsid w:val="00A17736"/>
    <w:rsid w:val="00A46F1D"/>
    <w:rsid w:val="00A751AD"/>
    <w:rsid w:val="00A7540A"/>
    <w:rsid w:val="00A92BD0"/>
    <w:rsid w:val="00AB17D9"/>
    <w:rsid w:val="00AF5C16"/>
    <w:rsid w:val="00AF665D"/>
    <w:rsid w:val="00AF7CEA"/>
    <w:rsid w:val="00B66939"/>
    <w:rsid w:val="00BC3AF6"/>
    <w:rsid w:val="00BE08A2"/>
    <w:rsid w:val="00BF6D5F"/>
    <w:rsid w:val="00C03A23"/>
    <w:rsid w:val="00C45464"/>
    <w:rsid w:val="00C74EA3"/>
    <w:rsid w:val="00C778E4"/>
    <w:rsid w:val="00C91FCC"/>
    <w:rsid w:val="00CA0BF7"/>
    <w:rsid w:val="00CC3CA9"/>
    <w:rsid w:val="00D53A03"/>
    <w:rsid w:val="00DE68AB"/>
    <w:rsid w:val="00EA73CC"/>
    <w:rsid w:val="00EC2960"/>
    <w:rsid w:val="00EC7EAA"/>
    <w:rsid w:val="00F04F79"/>
    <w:rsid w:val="00F90F3E"/>
    <w:rsid w:val="00F928BC"/>
    <w:rsid w:val="00FD22A0"/>
    <w:rsid w:val="00FE13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33F62"/>
  <w15:chartTrackingRefBased/>
  <w15:docId w15:val="{09A2F39B-445C-436B-8740-54AE6C5F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7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7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71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71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71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71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1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1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1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1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71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71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71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71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71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71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71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711F"/>
    <w:rPr>
      <w:rFonts w:eastAsiaTheme="majorEastAsia" w:cstheme="majorBidi"/>
      <w:color w:val="272727" w:themeColor="text1" w:themeTint="D8"/>
    </w:rPr>
  </w:style>
  <w:style w:type="paragraph" w:styleId="Title">
    <w:name w:val="Title"/>
    <w:basedOn w:val="Normal"/>
    <w:next w:val="Normal"/>
    <w:link w:val="TitleChar"/>
    <w:uiPriority w:val="10"/>
    <w:qFormat/>
    <w:rsid w:val="00507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1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1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11F"/>
    <w:pPr>
      <w:spacing w:before="160"/>
      <w:jc w:val="center"/>
    </w:pPr>
    <w:rPr>
      <w:i/>
      <w:iCs/>
      <w:color w:val="404040" w:themeColor="text1" w:themeTint="BF"/>
    </w:rPr>
  </w:style>
  <w:style w:type="character" w:customStyle="1" w:styleId="QuoteChar">
    <w:name w:val="Quote Char"/>
    <w:basedOn w:val="DefaultParagraphFont"/>
    <w:link w:val="Quote"/>
    <w:uiPriority w:val="29"/>
    <w:rsid w:val="0050711F"/>
    <w:rPr>
      <w:i/>
      <w:iCs/>
      <w:color w:val="404040" w:themeColor="text1" w:themeTint="BF"/>
    </w:rPr>
  </w:style>
  <w:style w:type="paragraph" w:styleId="ListParagraph">
    <w:name w:val="List Paragraph"/>
    <w:basedOn w:val="Normal"/>
    <w:uiPriority w:val="34"/>
    <w:qFormat/>
    <w:rsid w:val="0050711F"/>
    <w:pPr>
      <w:ind w:left="720"/>
      <w:contextualSpacing/>
    </w:pPr>
  </w:style>
  <w:style w:type="character" w:styleId="IntenseEmphasis">
    <w:name w:val="Intense Emphasis"/>
    <w:basedOn w:val="DefaultParagraphFont"/>
    <w:uiPriority w:val="21"/>
    <w:qFormat/>
    <w:rsid w:val="0050711F"/>
    <w:rPr>
      <w:i/>
      <w:iCs/>
      <w:color w:val="0F4761" w:themeColor="accent1" w:themeShade="BF"/>
    </w:rPr>
  </w:style>
  <w:style w:type="paragraph" w:styleId="IntenseQuote">
    <w:name w:val="Intense Quote"/>
    <w:basedOn w:val="Normal"/>
    <w:next w:val="Normal"/>
    <w:link w:val="IntenseQuoteChar"/>
    <w:uiPriority w:val="30"/>
    <w:qFormat/>
    <w:rsid w:val="00507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711F"/>
    <w:rPr>
      <w:i/>
      <w:iCs/>
      <w:color w:val="0F4761" w:themeColor="accent1" w:themeShade="BF"/>
    </w:rPr>
  </w:style>
  <w:style w:type="character" w:styleId="IntenseReference">
    <w:name w:val="Intense Reference"/>
    <w:basedOn w:val="DefaultParagraphFont"/>
    <w:uiPriority w:val="32"/>
    <w:qFormat/>
    <w:rsid w:val="0050711F"/>
    <w:rPr>
      <w:b/>
      <w:bCs/>
      <w:smallCaps/>
      <w:color w:val="0F4761" w:themeColor="accent1" w:themeShade="BF"/>
      <w:spacing w:val="5"/>
    </w:rPr>
  </w:style>
  <w:style w:type="paragraph" w:styleId="Header">
    <w:name w:val="header"/>
    <w:basedOn w:val="Normal"/>
    <w:link w:val="HeaderChar"/>
    <w:uiPriority w:val="99"/>
    <w:unhideWhenUsed/>
    <w:rsid w:val="00A92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BD0"/>
  </w:style>
  <w:style w:type="paragraph" w:styleId="Footer">
    <w:name w:val="footer"/>
    <w:basedOn w:val="Normal"/>
    <w:link w:val="FooterChar"/>
    <w:uiPriority w:val="99"/>
    <w:unhideWhenUsed/>
    <w:rsid w:val="00A92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D457C-0D5A-4501-BFEE-CFD22D545F55}">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1232</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Gilchrist</dc:creator>
  <cp:keywords/>
  <dc:description/>
  <cp:lastModifiedBy>Kirsten Howie</cp:lastModifiedBy>
  <cp:revision>3</cp:revision>
  <cp:lastPrinted>2026-05-06T13:21:00Z</cp:lastPrinted>
  <dcterms:created xsi:type="dcterms:W3CDTF">2026-07-09T10:23:00Z</dcterms:created>
  <dcterms:modified xsi:type="dcterms:W3CDTF">2026-07-09T10:24:00Z</dcterms:modified>
</cp:coreProperties>
</file>