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39DDC" w14:textId="77777777" w:rsidR="008C75C2" w:rsidRDefault="008C75C2">
      <w:pPr>
        <w:pStyle w:val="BodyText"/>
        <w:spacing w:before="3"/>
        <w:rPr>
          <w:rFonts w:ascii="Times New Roman"/>
          <w:sz w:val="20"/>
        </w:rPr>
      </w:pPr>
    </w:p>
    <w:p w14:paraId="54FBD0A5" w14:textId="77777777" w:rsidR="008C75C2" w:rsidRDefault="00DB374D">
      <w:pPr>
        <w:pStyle w:val="BodyText"/>
        <w:ind w:left="5448"/>
        <w:rPr>
          <w:rFonts w:ascii="Times New Roman"/>
          <w:sz w:val="20"/>
        </w:rPr>
      </w:pPr>
      <w:r>
        <w:rPr>
          <w:rFonts w:ascii="Times New Roman"/>
          <w:noProof/>
          <w:sz w:val="20"/>
          <w:lang w:bidi="ar-SA"/>
        </w:rPr>
        <w:drawing>
          <wp:inline distT="0" distB="0" distL="0" distR="0" wp14:anchorId="6D52E6EB" wp14:editId="2071A941">
            <wp:extent cx="2007118" cy="536448"/>
            <wp:effectExtent l="0" t="0" r="0" b="0"/>
            <wp:docPr id="1" name="image1.jpeg" descr="UoS-LOGO-PMS-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007118" cy="536448"/>
                    </a:xfrm>
                    <a:prstGeom prst="rect">
                      <a:avLst/>
                    </a:prstGeom>
                  </pic:spPr>
                </pic:pic>
              </a:graphicData>
            </a:graphic>
          </wp:inline>
        </w:drawing>
      </w:r>
    </w:p>
    <w:p w14:paraId="5B802DF8" w14:textId="77777777" w:rsidR="008C75C2" w:rsidRDefault="008C75C2">
      <w:pPr>
        <w:pStyle w:val="BodyText"/>
        <w:rPr>
          <w:rFonts w:ascii="Times New Roman"/>
          <w:sz w:val="20"/>
        </w:rPr>
      </w:pPr>
    </w:p>
    <w:p w14:paraId="5F706FBD" w14:textId="77777777" w:rsidR="008C75C2" w:rsidRDefault="008C75C2">
      <w:pPr>
        <w:pStyle w:val="BodyText"/>
        <w:rPr>
          <w:rFonts w:ascii="Times New Roman"/>
          <w:sz w:val="20"/>
        </w:rPr>
      </w:pPr>
    </w:p>
    <w:p w14:paraId="777B8E08" w14:textId="77777777" w:rsidR="008C75C2" w:rsidRDefault="008C75C2">
      <w:pPr>
        <w:pStyle w:val="BodyText"/>
        <w:spacing w:before="5"/>
        <w:rPr>
          <w:rFonts w:ascii="Times New Roman"/>
          <w:sz w:val="17"/>
        </w:rPr>
      </w:pPr>
    </w:p>
    <w:p w14:paraId="5A04CA15" w14:textId="77777777" w:rsidR="008C75C2" w:rsidRDefault="00DB374D">
      <w:pPr>
        <w:pStyle w:val="Heading1"/>
        <w:spacing w:before="56"/>
      </w:pPr>
      <w:r>
        <w:t>RISK APPETITE STATEMENT</w:t>
      </w:r>
    </w:p>
    <w:p w14:paraId="04C9672B" w14:textId="77777777" w:rsidR="008C75C2" w:rsidRDefault="008C75C2">
      <w:pPr>
        <w:pStyle w:val="BodyText"/>
        <w:rPr>
          <w:b/>
        </w:rPr>
      </w:pPr>
    </w:p>
    <w:p w14:paraId="3D878070" w14:textId="77777777" w:rsidR="008C75C2" w:rsidRDefault="00DB374D">
      <w:pPr>
        <w:ind w:left="100"/>
        <w:rPr>
          <w:b/>
        </w:rPr>
      </w:pPr>
      <w:r>
        <w:rPr>
          <w:b/>
        </w:rPr>
        <w:t>Introduction</w:t>
      </w:r>
    </w:p>
    <w:p w14:paraId="5260B9F3" w14:textId="185E43DC" w:rsidR="0025570E" w:rsidRDefault="00DB374D" w:rsidP="0025570E">
      <w:pPr>
        <w:pStyle w:val="ListParagraph"/>
        <w:numPr>
          <w:ilvl w:val="0"/>
          <w:numId w:val="2"/>
        </w:numPr>
        <w:tabs>
          <w:tab w:val="left" w:pos="461"/>
        </w:tabs>
        <w:ind w:right="1793"/>
      </w:pPr>
      <w:r>
        <w:t>The University of Stirling acknowledges that there are risks associated with everything we do but</w:t>
      </w:r>
      <w:r w:rsidRPr="0025570E">
        <w:rPr>
          <w:spacing w:val="-11"/>
        </w:rPr>
        <w:t xml:space="preserve"> </w:t>
      </w:r>
      <w:r>
        <w:t>that</w:t>
      </w:r>
      <w:r w:rsidRPr="0025570E">
        <w:rPr>
          <w:spacing w:val="-13"/>
        </w:rPr>
        <w:t xml:space="preserve"> </w:t>
      </w:r>
      <w:r>
        <w:t>informed</w:t>
      </w:r>
      <w:r w:rsidRPr="0025570E">
        <w:rPr>
          <w:spacing w:val="-11"/>
        </w:rPr>
        <w:t xml:space="preserve"> </w:t>
      </w:r>
      <w:r>
        <w:t>risk</w:t>
      </w:r>
      <w:r w:rsidRPr="0025570E">
        <w:rPr>
          <w:spacing w:val="-13"/>
        </w:rPr>
        <w:t xml:space="preserve"> </w:t>
      </w:r>
      <w:r>
        <w:t>taking</w:t>
      </w:r>
      <w:r w:rsidRPr="0025570E">
        <w:rPr>
          <w:spacing w:val="-11"/>
        </w:rPr>
        <w:t xml:space="preserve"> </w:t>
      </w:r>
      <w:r>
        <w:t>is</w:t>
      </w:r>
      <w:r w:rsidRPr="0025570E">
        <w:rPr>
          <w:spacing w:val="-13"/>
        </w:rPr>
        <w:t xml:space="preserve"> </w:t>
      </w:r>
      <w:r>
        <w:t>essential</w:t>
      </w:r>
      <w:r w:rsidRPr="0025570E">
        <w:rPr>
          <w:spacing w:val="-12"/>
        </w:rPr>
        <w:t xml:space="preserve"> </w:t>
      </w:r>
      <w:r>
        <w:t>if</w:t>
      </w:r>
      <w:r w:rsidRPr="0025570E">
        <w:rPr>
          <w:spacing w:val="-13"/>
        </w:rPr>
        <w:t xml:space="preserve"> </w:t>
      </w:r>
      <w:r>
        <w:t>the</w:t>
      </w:r>
      <w:r w:rsidRPr="0025570E">
        <w:rPr>
          <w:spacing w:val="-10"/>
        </w:rPr>
        <w:t xml:space="preserve"> </w:t>
      </w:r>
      <w:r>
        <w:t>University</w:t>
      </w:r>
      <w:r w:rsidRPr="0025570E">
        <w:rPr>
          <w:spacing w:val="-11"/>
        </w:rPr>
        <w:t xml:space="preserve"> </w:t>
      </w:r>
      <w:r>
        <w:t>is</w:t>
      </w:r>
      <w:r w:rsidRPr="0025570E">
        <w:rPr>
          <w:spacing w:val="-13"/>
        </w:rPr>
        <w:t xml:space="preserve"> </w:t>
      </w:r>
      <w:r>
        <w:t>to</w:t>
      </w:r>
      <w:r w:rsidRPr="0025570E">
        <w:rPr>
          <w:spacing w:val="-12"/>
        </w:rPr>
        <w:t xml:space="preserve"> </w:t>
      </w:r>
      <w:r>
        <w:t>innovate</w:t>
      </w:r>
      <w:r w:rsidRPr="0025570E">
        <w:rPr>
          <w:spacing w:val="-12"/>
        </w:rPr>
        <w:t xml:space="preserve"> </w:t>
      </w:r>
      <w:r>
        <w:t>and</w:t>
      </w:r>
      <w:r w:rsidRPr="0025570E">
        <w:rPr>
          <w:spacing w:val="-15"/>
        </w:rPr>
        <w:t xml:space="preserve"> </w:t>
      </w:r>
      <w:r>
        <w:t>succeed.</w:t>
      </w:r>
      <w:r w:rsidRPr="0025570E">
        <w:rPr>
          <w:spacing w:val="27"/>
        </w:rPr>
        <w:t xml:space="preserve"> </w:t>
      </w:r>
      <w:r>
        <w:t>Key</w:t>
      </w:r>
      <w:r w:rsidRPr="0025570E">
        <w:rPr>
          <w:spacing w:val="-13"/>
        </w:rPr>
        <w:t xml:space="preserve"> </w:t>
      </w:r>
      <w:r>
        <w:t>decisions at all levels need to be informed by a robust assessment of risk and balanced against the University’s</w:t>
      </w:r>
      <w:r w:rsidRPr="0025570E">
        <w:rPr>
          <w:spacing w:val="-6"/>
        </w:rPr>
        <w:t xml:space="preserve"> </w:t>
      </w:r>
      <w:r>
        <w:t>responsibilities</w:t>
      </w:r>
      <w:r w:rsidRPr="0025570E">
        <w:rPr>
          <w:spacing w:val="-5"/>
        </w:rPr>
        <w:t xml:space="preserve"> </w:t>
      </w:r>
      <w:r>
        <w:t>in</w:t>
      </w:r>
      <w:r w:rsidRPr="0025570E">
        <w:rPr>
          <w:spacing w:val="-4"/>
        </w:rPr>
        <w:t xml:space="preserve"> </w:t>
      </w:r>
      <w:r>
        <w:t>terms</w:t>
      </w:r>
      <w:r w:rsidRPr="0025570E">
        <w:rPr>
          <w:spacing w:val="-6"/>
        </w:rPr>
        <w:t xml:space="preserve"> </w:t>
      </w:r>
      <w:r>
        <w:t>of</w:t>
      </w:r>
      <w:r w:rsidRPr="0025570E">
        <w:rPr>
          <w:spacing w:val="-6"/>
        </w:rPr>
        <w:t xml:space="preserve"> </w:t>
      </w:r>
      <w:r>
        <w:t>accountability,</w:t>
      </w:r>
      <w:r w:rsidRPr="0025570E">
        <w:rPr>
          <w:spacing w:val="-5"/>
        </w:rPr>
        <w:t xml:space="preserve"> </w:t>
      </w:r>
      <w:r>
        <w:t>propriety,</w:t>
      </w:r>
      <w:r w:rsidRPr="0025570E">
        <w:rPr>
          <w:spacing w:val="-3"/>
        </w:rPr>
        <w:t xml:space="preserve"> </w:t>
      </w:r>
      <w:r>
        <w:t>regularity,</w:t>
      </w:r>
      <w:r w:rsidRPr="0025570E">
        <w:rPr>
          <w:spacing w:val="-4"/>
        </w:rPr>
        <w:t xml:space="preserve"> </w:t>
      </w:r>
      <w:r>
        <w:t>and</w:t>
      </w:r>
      <w:r w:rsidRPr="0025570E">
        <w:rPr>
          <w:spacing w:val="-4"/>
        </w:rPr>
        <w:t xml:space="preserve"> </w:t>
      </w:r>
      <w:r>
        <w:t>value</w:t>
      </w:r>
      <w:r w:rsidRPr="0025570E">
        <w:rPr>
          <w:spacing w:val="-3"/>
        </w:rPr>
        <w:t xml:space="preserve"> </w:t>
      </w:r>
      <w:r>
        <w:t>for</w:t>
      </w:r>
      <w:r w:rsidRPr="0025570E">
        <w:rPr>
          <w:spacing w:val="-8"/>
        </w:rPr>
        <w:t xml:space="preserve"> </w:t>
      </w:r>
      <w:r>
        <w:t>money.</w:t>
      </w:r>
    </w:p>
    <w:p w14:paraId="735E1594" w14:textId="77777777" w:rsidR="0025570E" w:rsidRDefault="0025570E" w:rsidP="0025570E">
      <w:pPr>
        <w:pStyle w:val="ListParagraph"/>
        <w:tabs>
          <w:tab w:val="left" w:pos="461"/>
        </w:tabs>
        <w:ind w:left="720" w:right="1793"/>
      </w:pPr>
    </w:p>
    <w:p w14:paraId="654B2DFC" w14:textId="314C2CD5" w:rsidR="008C75C2" w:rsidRDefault="00DB374D" w:rsidP="0025570E">
      <w:pPr>
        <w:pStyle w:val="ListParagraph"/>
        <w:numPr>
          <w:ilvl w:val="0"/>
          <w:numId w:val="2"/>
        </w:numPr>
        <w:tabs>
          <w:tab w:val="left" w:pos="461"/>
        </w:tabs>
        <w:ind w:right="1793"/>
      </w:pPr>
      <w:r>
        <w:t xml:space="preserve">The University is involved in a wide range of </w:t>
      </w:r>
      <w:proofErr w:type="gramStart"/>
      <w:r>
        <w:t>activities</w:t>
      </w:r>
      <w:proofErr w:type="gramEnd"/>
      <w:r>
        <w:t xml:space="preserve"> so it is not possible to define risk appetite</w:t>
      </w:r>
      <w:r w:rsidRPr="0025570E">
        <w:rPr>
          <w:spacing w:val="-12"/>
        </w:rPr>
        <w:t xml:space="preserve"> </w:t>
      </w:r>
      <w:r>
        <w:t>in</w:t>
      </w:r>
      <w:r w:rsidRPr="0025570E">
        <w:rPr>
          <w:spacing w:val="-12"/>
        </w:rPr>
        <w:t xml:space="preserve"> </w:t>
      </w:r>
      <w:r>
        <w:t>absolute</w:t>
      </w:r>
      <w:r w:rsidRPr="0025570E">
        <w:rPr>
          <w:spacing w:val="-12"/>
        </w:rPr>
        <w:t xml:space="preserve"> </w:t>
      </w:r>
      <w:r>
        <w:t>terms.</w:t>
      </w:r>
      <w:r w:rsidRPr="0025570E">
        <w:rPr>
          <w:spacing w:val="-12"/>
        </w:rPr>
        <w:t xml:space="preserve"> </w:t>
      </w:r>
      <w:r>
        <w:t>As</w:t>
      </w:r>
      <w:r w:rsidRPr="0025570E">
        <w:rPr>
          <w:spacing w:val="-11"/>
        </w:rPr>
        <w:t xml:space="preserve"> </w:t>
      </w:r>
      <w:r>
        <w:t>outlined</w:t>
      </w:r>
      <w:r w:rsidRPr="0025570E">
        <w:rPr>
          <w:spacing w:val="-11"/>
        </w:rPr>
        <w:t xml:space="preserve"> </w:t>
      </w:r>
      <w:r>
        <w:t>in</w:t>
      </w:r>
      <w:r w:rsidRPr="0025570E">
        <w:rPr>
          <w:spacing w:val="-13"/>
        </w:rPr>
        <w:t xml:space="preserve"> </w:t>
      </w:r>
      <w:r>
        <w:t>our</w:t>
      </w:r>
      <w:r w:rsidRPr="0025570E">
        <w:rPr>
          <w:spacing w:val="-13"/>
        </w:rPr>
        <w:t xml:space="preserve"> </w:t>
      </w:r>
      <w:r>
        <w:t>Risk</w:t>
      </w:r>
      <w:r w:rsidRPr="0025570E">
        <w:rPr>
          <w:spacing w:val="-15"/>
        </w:rPr>
        <w:t xml:space="preserve"> </w:t>
      </w:r>
      <w:r>
        <w:t>Policy,</w:t>
      </w:r>
      <w:r w:rsidRPr="0025570E">
        <w:rPr>
          <w:spacing w:val="-13"/>
        </w:rPr>
        <w:t xml:space="preserve"> </w:t>
      </w:r>
      <w:r>
        <w:t>the</w:t>
      </w:r>
      <w:r w:rsidRPr="0025570E">
        <w:rPr>
          <w:spacing w:val="-13"/>
        </w:rPr>
        <w:t xml:space="preserve"> </w:t>
      </w:r>
      <w:r>
        <w:t>University</w:t>
      </w:r>
      <w:r w:rsidRPr="0025570E">
        <w:rPr>
          <w:spacing w:val="-12"/>
        </w:rPr>
        <w:t xml:space="preserve"> </w:t>
      </w:r>
      <w:r>
        <w:t>is</w:t>
      </w:r>
      <w:r w:rsidRPr="0025570E">
        <w:rPr>
          <w:spacing w:val="-13"/>
        </w:rPr>
        <w:t xml:space="preserve"> </w:t>
      </w:r>
      <w:r>
        <w:t>committed</w:t>
      </w:r>
      <w:r w:rsidRPr="0025570E">
        <w:rPr>
          <w:spacing w:val="-10"/>
        </w:rPr>
        <w:t xml:space="preserve"> </w:t>
      </w:r>
      <w:r>
        <w:t>to</w:t>
      </w:r>
      <w:r w:rsidRPr="0025570E">
        <w:rPr>
          <w:spacing w:val="-9"/>
        </w:rPr>
        <w:t xml:space="preserve"> </w:t>
      </w:r>
      <w:r>
        <w:t>intelligent risk taking, where risks are identified, assessed and managed within a risk management framework ensuring that risks are understood and managed effectively in order to achieve our goals.</w:t>
      </w:r>
    </w:p>
    <w:p w14:paraId="103018B5" w14:textId="77777777" w:rsidR="008C75C2" w:rsidRDefault="008C75C2">
      <w:pPr>
        <w:pStyle w:val="BodyText"/>
        <w:spacing w:before="11"/>
        <w:rPr>
          <w:sz w:val="21"/>
        </w:rPr>
      </w:pPr>
    </w:p>
    <w:p w14:paraId="20308A68" w14:textId="77777777" w:rsidR="008C75C2" w:rsidRDefault="00DB374D">
      <w:pPr>
        <w:pStyle w:val="Heading1"/>
      </w:pPr>
      <w:r>
        <w:t>Statement</w:t>
      </w:r>
    </w:p>
    <w:p w14:paraId="3DBAE067" w14:textId="77777777" w:rsidR="008C75C2" w:rsidRDefault="00DB374D" w:rsidP="0025570E">
      <w:pPr>
        <w:pStyle w:val="ListParagraph"/>
        <w:numPr>
          <w:ilvl w:val="0"/>
          <w:numId w:val="2"/>
        </w:numPr>
        <w:tabs>
          <w:tab w:val="left" w:pos="461"/>
        </w:tabs>
        <w:spacing w:before="1"/>
        <w:ind w:right="1792"/>
      </w:pPr>
      <w:r>
        <w:t>The University engages in a range of activities in pursuing its Strategic Plan objectives and in doing so will assess the level of risk associated with those activities. Some of the University’s activities will be judged to be low in terms of risk likelihood and impact and others may be highly likely to occur or high in terms of the potential impact. The University will manage the risks associated with individual activities through a system of internal controls and, if appropriate, external controls. Activities that are judged to be high risk will be undertaken only where they offer benefits proportionate with the level of risk involved and do not increase risk to an unacceptable level, for instance, where an adverse outcome would seriously jeopardise the overall achievement of the University’s Strategic</w:t>
      </w:r>
      <w:r>
        <w:rPr>
          <w:spacing w:val="-10"/>
        </w:rPr>
        <w:t xml:space="preserve"> </w:t>
      </w:r>
      <w:r>
        <w:t>Plan.</w:t>
      </w:r>
    </w:p>
    <w:p w14:paraId="453F9986" w14:textId="77777777" w:rsidR="008C75C2" w:rsidRDefault="008C75C2">
      <w:pPr>
        <w:pStyle w:val="BodyText"/>
      </w:pPr>
    </w:p>
    <w:p w14:paraId="33F18146" w14:textId="77777777" w:rsidR="008C75C2" w:rsidRDefault="00DB374D">
      <w:pPr>
        <w:pStyle w:val="Heading1"/>
      </w:pPr>
      <w:r>
        <w:t>Assessment</w:t>
      </w:r>
    </w:p>
    <w:p w14:paraId="39889895" w14:textId="1A0F930E" w:rsidR="008C75C2" w:rsidRDefault="00DB374D" w:rsidP="0025570E">
      <w:pPr>
        <w:pStyle w:val="ListParagraph"/>
        <w:numPr>
          <w:ilvl w:val="0"/>
          <w:numId w:val="2"/>
        </w:numPr>
        <w:tabs>
          <w:tab w:val="left" w:pos="461"/>
        </w:tabs>
        <w:ind w:right="1790"/>
      </w:pPr>
      <w:r>
        <w:t>The diagram below should be used to as part of the risk assessment process to determine whether activities fall above the guideline risk appetite (thick line) or below. When considering</w:t>
      </w:r>
      <w:r>
        <w:rPr>
          <w:spacing w:val="-11"/>
        </w:rPr>
        <w:t xml:space="preserve"> </w:t>
      </w:r>
      <w:r>
        <w:t>the</w:t>
      </w:r>
      <w:r>
        <w:rPr>
          <w:spacing w:val="-10"/>
        </w:rPr>
        <w:t xml:space="preserve"> </w:t>
      </w:r>
      <w:r>
        <w:t>risks</w:t>
      </w:r>
      <w:r>
        <w:rPr>
          <w:spacing w:val="-11"/>
        </w:rPr>
        <w:t xml:space="preserve"> </w:t>
      </w:r>
      <w:r>
        <w:t>associated</w:t>
      </w:r>
      <w:r>
        <w:rPr>
          <w:spacing w:val="-11"/>
        </w:rPr>
        <w:t xml:space="preserve"> </w:t>
      </w:r>
      <w:r>
        <w:t>with</w:t>
      </w:r>
      <w:r>
        <w:rPr>
          <w:spacing w:val="-8"/>
        </w:rPr>
        <w:t xml:space="preserve"> </w:t>
      </w:r>
      <w:r>
        <w:t>new</w:t>
      </w:r>
      <w:r>
        <w:rPr>
          <w:spacing w:val="-9"/>
        </w:rPr>
        <w:t xml:space="preserve"> </w:t>
      </w:r>
      <w:r>
        <w:t>activities</w:t>
      </w:r>
      <w:r>
        <w:rPr>
          <w:spacing w:val="-7"/>
        </w:rPr>
        <w:t xml:space="preserve"> </w:t>
      </w:r>
      <w:r>
        <w:t>it</w:t>
      </w:r>
      <w:r>
        <w:rPr>
          <w:spacing w:val="-6"/>
        </w:rPr>
        <w:t xml:space="preserve"> </w:t>
      </w:r>
      <w:r>
        <w:t>is</w:t>
      </w:r>
      <w:r>
        <w:rPr>
          <w:spacing w:val="-10"/>
        </w:rPr>
        <w:t xml:space="preserve"> </w:t>
      </w:r>
      <w:r>
        <w:t>important</w:t>
      </w:r>
      <w:r>
        <w:rPr>
          <w:spacing w:val="-10"/>
        </w:rPr>
        <w:t xml:space="preserve"> </w:t>
      </w:r>
      <w:r>
        <w:t>to</w:t>
      </w:r>
      <w:r>
        <w:rPr>
          <w:spacing w:val="-9"/>
        </w:rPr>
        <w:t xml:space="preserve"> </w:t>
      </w:r>
      <w:r>
        <w:t>take</w:t>
      </w:r>
      <w:r>
        <w:rPr>
          <w:spacing w:val="-8"/>
        </w:rPr>
        <w:t xml:space="preserve"> </w:t>
      </w:r>
      <w:r>
        <w:t>into</w:t>
      </w:r>
      <w:r>
        <w:rPr>
          <w:spacing w:val="-9"/>
        </w:rPr>
        <w:t xml:space="preserve"> </w:t>
      </w:r>
      <w:r>
        <w:t>consideration</w:t>
      </w:r>
      <w:r>
        <w:rPr>
          <w:spacing w:val="-11"/>
        </w:rPr>
        <w:t xml:space="preserve"> </w:t>
      </w:r>
      <w:r>
        <w:t>other existing</w:t>
      </w:r>
      <w:r>
        <w:rPr>
          <w:spacing w:val="-10"/>
        </w:rPr>
        <w:t xml:space="preserve"> </w:t>
      </w:r>
      <w:r>
        <w:t>activities</w:t>
      </w:r>
      <w:r>
        <w:rPr>
          <w:spacing w:val="-12"/>
        </w:rPr>
        <w:t xml:space="preserve"> </w:t>
      </w:r>
      <w:r>
        <w:t>or</w:t>
      </w:r>
      <w:r>
        <w:rPr>
          <w:spacing w:val="-8"/>
        </w:rPr>
        <w:t xml:space="preserve"> </w:t>
      </w:r>
      <w:r>
        <w:t>planned</w:t>
      </w:r>
      <w:r>
        <w:rPr>
          <w:spacing w:val="-9"/>
        </w:rPr>
        <w:t xml:space="preserve"> </w:t>
      </w:r>
      <w:r>
        <w:t>projects</w:t>
      </w:r>
      <w:r>
        <w:rPr>
          <w:spacing w:val="-10"/>
        </w:rPr>
        <w:t xml:space="preserve"> </w:t>
      </w:r>
      <w:r>
        <w:t>which</w:t>
      </w:r>
      <w:r>
        <w:rPr>
          <w:spacing w:val="-13"/>
        </w:rPr>
        <w:t xml:space="preserve"> </w:t>
      </w:r>
      <w:r>
        <w:t>when</w:t>
      </w:r>
      <w:r>
        <w:rPr>
          <w:spacing w:val="-11"/>
        </w:rPr>
        <w:t xml:space="preserve"> </w:t>
      </w:r>
      <w:r>
        <w:t>considered</w:t>
      </w:r>
      <w:r>
        <w:rPr>
          <w:spacing w:val="-8"/>
        </w:rPr>
        <w:t xml:space="preserve"> </w:t>
      </w:r>
      <w:r>
        <w:t>cumulatively</w:t>
      </w:r>
      <w:r>
        <w:rPr>
          <w:spacing w:val="-7"/>
        </w:rPr>
        <w:t xml:space="preserve"> </w:t>
      </w:r>
      <w:r>
        <w:t>could</w:t>
      </w:r>
      <w:r>
        <w:rPr>
          <w:spacing w:val="-9"/>
        </w:rPr>
        <w:t xml:space="preserve"> </w:t>
      </w:r>
      <w:r>
        <w:t>lead</w:t>
      </w:r>
      <w:r>
        <w:rPr>
          <w:spacing w:val="-9"/>
        </w:rPr>
        <w:t xml:space="preserve"> </w:t>
      </w:r>
      <w:r>
        <w:t>to</w:t>
      </w:r>
      <w:r>
        <w:rPr>
          <w:spacing w:val="-9"/>
        </w:rPr>
        <w:t xml:space="preserve"> </w:t>
      </w:r>
      <w:r>
        <w:t>a</w:t>
      </w:r>
      <w:r>
        <w:rPr>
          <w:spacing w:val="-8"/>
        </w:rPr>
        <w:t xml:space="preserve"> </w:t>
      </w:r>
      <w:r>
        <w:t>greater risk to the University than the individual projects alone. There may be occasions where projects are considered of significant importance to the University to justify increased risk exposure. Where it is deemed that activities should be pursued that are above the risk appetite line the rationale for supporting this decision should be including in the relevant documentation and risk registers along with details of mitigating</w:t>
      </w:r>
      <w:r>
        <w:rPr>
          <w:spacing w:val="-11"/>
        </w:rPr>
        <w:t xml:space="preserve"> </w:t>
      </w:r>
      <w:r>
        <w:t>action.</w:t>
      </w:r>
    </w:p>
    <w:p w14:paraId="71767279" w14:textId="4C2822D1" w:rsidR="008C75C2" w:rsidRDefault="008C75C2">
      <w:pPr>
        <w:jc w:val="both"/>
      </w:pPr>
    </w:p>
    <w:p w14:paraId="3ACC7A9A" w14:textId="0AA5AA46" w:rsidR="00363318" w:rsidRDefault="00363318">
      <w:pPr>
        <w:jc w:val="both"/>
      </w:pPr>
    </w:p>
    <w:p w14:paraId="1081EB44" w14:textId="4C78D0C2" w:rsidR="00363318" w:rsidRDefault="00363318">
      <w:pPr>
        <w:jc w:val="both"/>
      </w:pPr>
    </w:p>
    <w:p w14:paraId="51ED7246" w14:textId="67E5105E" w:rsidR="000165F7" w:rsidRDefault="000165F7">
      <w:pPr>
        <w:jc w:val="both"/>
      </w:pPr>
    </w:p>
    <w:p w14:paraId="59B1C515" w14:textId="13E295CA" w:rsidR="000C1366" w:rsidRDefault="000C1366">
      <w:pPr>
        <w:jc w:val="both"/>
      </w:pPr>
    </w:p>
    <w:p w14:paraId="76993415" w14:textId="6E6FF154" w:rsidR="000C1366" w:rsidRDefault="000C1366">
      <w:pPr>
        <w:jc w:val="both"/>
      </w:pPr>
    </w:p>
    <w:p w14:paraId="578A0C57" w14:textId="77777777" w:rsidR="000C1366" w:rsidRDefault="000C1366">
      <w:pPr>
        <w:jc w:val="both"/>
      </w:pPr>
    </w:p>
    <w:tbl>
      <w:tblPr>
        <w:tblStyle w:val="TableGrid"/>
        <w:tblW w:w="9067" w:type="dxa"/>
        <w:tblLayout w:type="fixed"/>
        <w:tblLook w:val="04A0" w:firstRow="1" w:lastRow="0" w:firstColumn="1" w:lastColumn="0" w:noHBand="0" w:noVBand="1"/>
      </w:tblPr>
      <w:tblGrid>
        <w:gridCol w:w="1838"/>
        <w:gridCol w:w="1418"/>
        <w:gridCol w:w="1417"/>
        <w:gridCol w:w="1418"/>
        <w:gridCol w:w="1275"/>
        <w:gridCol w:w="1701"/>
      </w:tblGrid>
      <w:tr w:rsidR="00B21FD3" w:rsidRPr="00B33DA7" w14:paraId="789C5AB0" w14:textId="77777777" w:rsidTr="005E3271">
        <w:tc>
          <w:tcPr>
            <w:tcW w:w="1838" w:type="dxa"/>
            <w:tcBorders>
              <w:top w:val="nil"/>
              <w:left w:val="nil"/>
              <w:bottom w:val="single" w:sz="4" w:space="0" w:color="auto"/>
              <w:right w:val="single" w:sz="4" w:space="0" w:color="auto"/>
            </w:tcBorders>
          </w:tcPr>
          <w:p w14:paraId="40BA35F0"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p>
        </w:tc>
        <w:tc>
          <w:tcPr>
            <w:tcW w:w="1418" w:type="dxa"/>
            <w:tcBorders>
              <w:top w:val="single" w:sz="4" w:space="0" w:color="auto"/>
              <w:left w:val="single" w:sz="4" w:space="0" w:color="auto"/>
              <w:bottom w:val="single" w:sz="4" w:space="0" w:color="auto"/>
              <w:right w:val="nil"/>
            </w:tcBorders>
          </w:tcPr>
          <w:p w14:paraId="42B41912" w14:textId="77777777" w:rsidR="00B21FD3" w:rsidRPr="00B33DA7" w:rsidRDefault="00B21FD3" w:rsidP="005E3271">
            <w:pPr>
              <w:spacing w:before="100" w:beforeAutospacing="1" w:after="100" w:afterAutospacing="1"/>
              <w:jc w:val="center"/>
              <w:rPr>
                <w:rFonts w:eastAsia="Times New Roman" w:cs="Times New Roman"/>
                <w:b/>
                <w:bCs/>
                <w:sz w:val="18"/>
                <w:szCs w:val="18"/>
              </w:rPr>
            </w:pPr>
          </w:p>
        </w:tc>
        <w:tc>
          <w:tcPr>
            <w:tcW w:w="1417" w:type="dxa"/>
            <w:tcBorders>
              <w:top w:val="single" w:sz="4" w:space="0" w:color="auto"/>
              <w:left w:val="nil"/>
              <w:bottom w:val="single" w:sz="4" w:space="0" w:color="auto"/>
              <w:right w:val="nil"/>
            </w:tcBorders>
          </w:tcPr>
          <w:p w14:paraId="12329C10" w14:textId="77777777" w:rsidR="00B21FD3" w:rsidRPr="00B33DA7" w:rsidRDefault="00B21FD3" w:rsidP="005E3271">
            <w:pPr>
              <w:spacing w:before="100" w:beforeAutospacing="1" w:after="100" w:afterAutospacing="1"/>
              <w:jc w:val="center"/>
              <w:rPr>
                <w:rFonts w:eastAsia="Times New Roman" w:cs="Times New Roman"/>
                <w:b/>
                <w:bCs/>
                <w:sz w:val="18"/>
                <w:szCs w:val="18"/>
              </w:rPr>
            </w:pPr>
          </w:p>
        </w:tc>
        <w:tc>
          <w:tcPr>
            <w:tcW w:w="1418" w:type="dxa"/>
            <w:tcBorders>
              <w:top w:val="single" w:sz="4" w:space="0" w:color="auto"/>
              <w:left w:val="nil"/>
              <w:bottom w:val="single" w:sz="4" w:space="0" w:color="auto"/>
              <w:right w:val="nil"/>
            </w:tcBorders>
          </w:tcPr>
          <w:p w14:paraId="3A99C118" w14:textId="77777777" w:rsidR="00B21FD3" w:rsidRPr="00B33DA7" w:rsidRDefault="00B21FD3" w:rsidP="005E3271">
            <w:pPr>
              <w:spacing w:before="100" w:beforeAutospacing="1" w:after="100" w:afterAutospacing="1"/>
              <w:jc w:val="center"/>
              <w:rPr>
                <w:rFonts w:eastAsia="Times New Roman" w:cs="Times New Roman"/>
                <w:b/>
                <w:bCs/>
                <w:sz w:val="18"/>
                <w:szCs w:val="18"/>
              </w:rPr>
            </w:pPr>
            <w:r w:rsidRPr="00B33DA7">
              <w:rPr>
                <w:rFonts w:asciiTheme="minorHAnsi" w:eastAsia="Times New Roman" w:hAnsiTheme="minorHAnsi" w:cs="Times New Roman"/>
                <w:b/>
                <w:bCs/>
                <w:sz w:val="18"/>
                <w:szCs w:val="18"/>
              </w:rPr>
              <w:t>Likelihood</w:t>
            </w:r>
          </w:p>
        </w:tc>
        <w:tc>
          <w:tcPr>
            <w:tcW w:w="1275" w:type="dxa"/>
            <w:tcBorders>
              <w:top w:val="single" w:sz="4" w:space="0" w:color="auto"/>
              <w:left w:val="nil"/>
              <w:bottom w:val="single" w:sz="4" w:space="0" w:color="auto"/>
              <w:right w:val="nil"/>
            </w:tcBorders>
          </w:tcPr>
          <w:p w14:paraId="379180CC" w14:textId="77777777" w:rsidR="00B21FD3" w:rsidRPr="00B33DA7" w:rsidRDefault="00B21FD3" w:rsidP="005E3271">
            <w:pPr>
              <w:spacing w:before="100" w:beforeAutospacing="1" w:after="100" w:afterAutospacing="1"/>
              <w:jc w:val="center"/>
              <w:rPr>
                <w:rFonts w:eastAsia="Times New Roman" w:cs="Times New Roman"/>
                <w:b/>
                <w:bCs/>
                <w:sz w:val="18"/>
                <w:szCs w:val="18"/>
              </w:rPr>
            </w:pPr>
          </w:p>
        </w:tc>
        <w:tc>
          <w:tcPr>
            <w:tcW w:w="1701" w:type="dxa"/>
            <w:tcBorders>
              <w:top w:val="single" w:sz="4" w:space="0" w:color="auto"/>
              <w:left w:val="nil"/>
              <w:bottom w:val="single" w:sz="4" w:space="0" w:color="auto"/>
              <w:right w:val="single" w:sz="4" w:space="0" w:color="auto"/>
            </w:tcBorders>
          </w:tcPr>
          <w:p w14:paraId="6406EC19" w14:textId="77777777" w:rsidR="00B21FD3" w:rsidRPr="00B33DA7" w:rsidRDefault="00B21FD3" w:rsidP="005E3271">
            <w:pPr>
              <w:spacing w:before="100" w:beforeAutospacing="1" w:after="100" w:afterAutospacing="1"/>
              <w:jc w:val="center"/>
              <w:rPr>
                <w:rFonts w:asciiTheme="minorHAnsi" w:eastAsia="Times New Roman" w:hAnsiTheme="minorHAnsi" w:cs="Times New Roman"/>
                <w:b/>
                <w:bCs/>
                <w:sz w:val="18"/>
                <w:szCs w:val="18"/>
              </w:rPr>
            </w:pPr>
          </w:p>
        </w:tc>
      </w:tr>
      <w:tr w:rsidR="00B21FD3" w:rsidRPr="00B33DA7" w14:paraId="1B153EC1" w14:textId="77777777" w:rsidTr="005E3271">
        <w:tc>
          <w:tcPr>
            <w:tcW w:w="1838" w:type="dxa"/>
            <w:tcBorders>
              <w:top w:val="single" w:sz="4" w:space="0" w:color="auto"/>
            </w:tcBorders>
          </w:tcPr>
          <w:p w14:paraId="21500973"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p>
        </w:tc>
        <w:tc>
          <w:tcPr>
            <w:tcW w:w="1418" w:type="dxa"/>
            <w:tcBorders>
              <w:top w:val="single" w:sz="4" w:space="0" w:color="auto"/>
            </w:tcBorders>
          </w:tcPr>
          <w:p w14:paraId="16874FD4"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1</w:t>
            </w:r>
          </w:p>
        </w:tc>
        <w:tc>
          <w:tcPr>
            <w:tcW w:w="1417" w:type="dxa"/>
            <w:tcBorders>
              <w:top w:val="single" w:sz="4" w:space="0" w:color="auto"/>
            </w:tcBorders>
          </w:tcPr>
          <w:p w14:paraId="600E43B1"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2</w:t>
            </w:r>
          </w:p>
        </w:tc>
        <w:tc>
          <w:tcPr>
            <w:tcW w:w="1418" w:type="dxa"/>
            <w:tcBorders>
              <w:top w:val="single" w:sz="4" w:space="0" w:color="auto"/>
            </w:tcBorders>
          </w:tcPr>
          <w:p w14:paraId="1E47C8AD"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3</w:t>
            </w:r>
          </w:p>
        </w:tc>
        <w:tc>
          <w:tcPr>
            <w:tcW w:w="1275" w:type="dxa"/>
            <w:tcBorders>
              <w:top w:val="single" w:sz="4" w:space="0" w:color="auto"/>
            </w:tcBorders>
          </w:tcPr>
          <w:p w14:paraId="42EA537D"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4</w:t>
            </w:r>
          </w:p>
        </w:tc>
        <w:tc>
          <w:tcPr>
            <w:tcW w:w="1701" w:type="dxa"/>
            <w:tcBorders>
              <w:top w:val="single" w:sz="4" w:space="0" w:color="auto"/>
            </w:tcBorders>
          </w:tcPr>
          <w:p w14:paraId="3291B68E"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5</w:t>
            </w:r>
          </w:p>
        </w:tc>
      </w:tr>
      <w:tr w:rsidR="00B21FD3" w:rsidRPr="00B33DA7" w14:paraId="2933F00B" w14:textId="77777777" w:rsidTr="005E3271">
        <w:tc>
          <w:tcPr>
            <w:tcW w:w="1838" w:type="dxa"/>
            <w:vAlign w:val="center"/>
          </w:tcPr>
          <w:p w14:paraId="19152B70" w14:textId="77777777" w:rsidR="00B21FD3" w:rsidRPr="00B33DA7" w:rsidRDefault="00B21FD3" w:rsidP="005E3271">
            <w:pPr>
              <w:spacing w:before="100" w:beforeAutospacing="1" w:after="100" w:afterAutospacing="1"/>
              <w:jc w:val="center"/>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Consequence and time to recover</w:t>
            </w:r>
          </w:p>
        </w:tc>
        <w:tc>
          <w:tcPr>
            <w:tcW w:w="1418" w:type="dxa"/>
          </w:tcPr>
          <w:p w14:paraId="5C301970"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Rare (&lt;10%)</w:t>
            </w:r>
          </w:p>
        </w:tc>
        <w:tc>
          <w:tcPr>
            <w:tcW w:w="1417" w:type="dxa"/>
          </w:tcPr>
          <w:p w14:paraId="3C4CCEE8"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Unlikely</w:t>
            </w:r>
            <w:r>
              <w:rPr>
                <w:rFonts w:asciiTheme="minorHAnsi" w:eastAsia="Times New Roman" w:hAnsiTheme="minorHAnsi" w:cs="Times New Roman"/>
                <w:b/>
                <w:bCs/>
                <w:sz w:val="18"/>
                <w:szCs w:val="18"/>
              </w:rPr>
              <w:t xml:space="preserve"> </w:t>
            </w:r>
            <w:r w:rsidRPr="00B33DA7">
              <w:rPr>
                <w:rFonts w:asciiTheme="minorHAnsi" w:eastAsia="Times New Roman" w:hAnsiTheme="minorHAnsi" w:cs="Times New Roman"/>
                <w:b/>
                <w:bCs/>
                <w:sz w:val="18"/>
                <w:szCs w:val="18"/>
              </w:rPr>
              <w:t>(10-30%)</w:t>
            </w:r>
          </w:p>
        </w:tc>
        <w:tc>
          <w:tcPr>
            <w:tcW w:w="1418" w:type="dxa"/>
          </w:tcPr>
          <w:p w14:paraId="69AA5F5D"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Moderate (31-50%)</w:t>
            </w:r>
          </w:p>
        </w:tc>
        <w:tc>
          <w:tcPr>
            <w:tcW w:w="1275" w:type="dxa"/>
          </w:tcPr>
          <w:p w14:paraId="48195EC2"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Likely (51-80%)</w:t>
            </w:r>
          </w:p>
        </w:tc>
        <w:tc>
          <w:tcPr>
            <w:tcW w:w="1701" w:type="dxa"/>
          </w:tcPr>
          <w:p w14:paraId="10550881"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Almost Certain (&gt;80%)</w:t>
            </w:r>
          </w:p>
        </w:tc>
      </w:tr>
      <w:tr w:rsidR="00B21FD3" w:rsidRPr="00B33DA7" w14:paraId="30A4C9AB" w14:textId="77777777" w:rsidTr="005E3271">
        <w:tc>
          <w:tcPr>
            <w:tcW w:w="1838" w:type="dxa"/>
          </w:tcPr>
          <w:p w14:paraId="488C8BCB"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1</w:t>
            </w:r>
            <w:r>
              <w:rPr>
                <w:rFonts w:eastAsia="Times New Roman" w:cs="Times New Roman"/>
                <w:b/>
                <w:bCs/>
                <w:sz w:val="18"/>
                <w:szCs w:val="18"/>
              </w:rPr>
              <w:t xml:space="preserve"> </w:t>
            </w:r>
            <w:r w:rsidRPr="00B33DA7">
              <w:rPr>
                <w:rFonts w:asciiTheme="minorHAnsi" w:eastAsia="Times New Roman" w:hAnsiTheme="minorHAnsi" w:cs="Times New Roman"/>
                <w:b/>
                <w:bCs/>
                <w:sz w:val="18"/>
                <w:szCs w:val="18"/>
              </w:rPr>
              <w:t>Insignificant</w:t>
            </w:r>
          </w:p>
        </w:tc>
        <w:tc>
          <w:tcPr>
            <w:tcW w:w="1418" w:type="dxa"/>
            <w:shd w:val="clear" w:color="auto" w:fill="00B050"/>
          </w:tcPr>
          <w:p w14:paraId="52DBD49E"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1 – low</w:t>
            </w:r>
          </w:p>
        </w:tc>
        <w:tc>
          <w:tcPr>
            <w:tcW w:w="1417" w:type="dxa"/>
            <w:shd w:val="clear" w:color="auto" w:fill="00B050"/>
          </w:tcPr>
          <w:p w14:paraId="5678A47D"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2 – low</w:t>
            </w:r>
          </w:p>
        </w:tc>
        <w:tc>
          <w:tcPr>
            <w:tcW w:w="1418" w:type="dxa"/>
            <w:shd w:val="clear" w:color="auto" w:fill="00B050"/>
          </w:tcPr>
          <w:p w14:paraId="6D4B293F"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3 – low</w:t>
            </w:r>
          </w:p>
        </w:tc>
        <w:tc>
          <w:tcPr>
            <w:tcW w:w="1275" w:type="dxa"/>
            <w:shd w:val="clear" w:color="auto" w:fill="00B050"/>
          </w:tcPr>
          <w:p w14:paraId="777A4DEB"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4 – low</w:t>
            </w:r>
          </w:p>
        </w:tc>
        <w:tc>
          <w:tcPr>
            <w:tcW w:w="1701" w:type="dxa"/>
            <w:tcBorders>
              <w:bottom w:val="single" w:sz="24" w:space="0" w:color="auto"/>
            </w:tcBorders>
            <w:shd w:val="clear" w:color="auto" w:fill="FFFF00"/>
          </w:tcPr>
          <w:p w14:paraId="2A0C3046"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5 – moderate</w:t>
            </w:r>
          </w:p>
        </w:tc>
      </w:tr>
      <w:tr w:rsidR="00B21FD3" w:rsidRPr="00B33DA7" w14:paraId="426E2E6C" w14:textId="77777777" w:rsidTr="005E3271">
        <w:tc>
          <w:tcPr>
            <w:tcW w:w="1838" w:type="dxa"/>
          </w:tcPr>
          <w:p w14:paraId="3CD96F9A"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2</w:t>
            </w:r>
            <w:r>
              <w:rPr>
                <w:rFonts w:eastAsia="Times New Roman" w:cs="Times New Roman"/>
                <w:b/>
                <w:bCs/>
                <w:sz w:val="18"/>
                <w:szCs w:val="18"/>
              </w:rPr>
              <w:t xml:space="preserve"> </w:t>
            </w:r>
            <w:r w:rsidRPr="00B33DA7">
              <w:rPr>
                <w:rFonts w:asciiTheme="minorHAnsi" w:eastAsia="Times New Roman" w:hAnsiTheme="minorHAnsi" w:cs="Times New Roman"/>
                <w:b/>
                <w:bCs/>
                <w:sz w:val="18"/>
                <w:szCs w:val="18"/>
              </w:rPr>
              <w:t>Minor</w:t>
            </w:r>
          </w:p>
        </w:tc>
        <w:tc>
          <w:tcPr>
            <w:tcW w:w="1418" w:type="dxa"/>
            <w:shd w:val="clear" w:color="auto" w:fill="00B050"/>
          </w:tcPr>
          <w:p w14:paraId="7C9B2F8C"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2 – low</w:t>
            </w:r>
          </w:p>
        </w:tc>
        <w:tc>
          <w:tcPr>
            <w:tcW w:w="1417" w:type="dxa"/>
            <w:shd w:val="clear" w:color="auto" w:fill="00B050"/>
          </w:tcPr>
          <w:p w14:paraId="687C0E6F"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4 – low</w:t>
            </w:r>
          </w:p>
        </w:tc>
        <w:tc>
          <w:tcPr>
            <w:tcW w:w="1418" w:type="dxa"/>
            <w:shd w:val="clear" w:color="auto" w:fill="FFFF00"/>
          </w:tcPr>
          <w:p w14:paraId="7A42ACD6"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6 – moderate</w:t>
            </w:r>
          </w:p>
        </w:tc>
        <w:tc>
          <w:tcPr>
            <w:tcW w:w="1275" w:type="dxa"/>
            <w:tcBorders>
              <w:bottom w:val="single" w:sz="24" w:space="0" w:color="auto"/>
              <w:right w:val="single" w:sz="24" w:space="0" w:color="auto"/>
            </w:tcBorders>
            <w:shd w:val="clear" w:color="auto" w:fill="FFFF00"/>
          </w:tcPr>
          <w:p w14:paraId="6AED78E3"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8 – moderate</w:t>
            </w:r>
          </w:p>
        </w:tc>
        <w:tc>
          <w:tcPr>
            <w:tcW w:w="1701" w:type="dxa"/>
            <w:tcBorders>
              <w:top w:val="single" w:sz="24" w:space="0" w:color="auto"/>
              <w:left w:val="single" w:sz="24" w:space="0" w:color="auto"/>
            </w:tcBorders>
            <w:shd w:val="clear" w:color="auto" w:fill="FFC000"/>
          </w:tcPr>
          <w:p w14:paraId="33439314"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10 – high</w:t>
            </w:r>
          </w:p>
        </w:tc>
      </w:tr>
      <w:tr w:rsidR="00B21FD3" w:rsidRPr="00B33DA7" w14:paraId="00D05AC6" w14:textId="77777777" w:rsidTr="005E3271">
        <w:tc>
          <w:tcPr>
            <w:tcW w:w="1838" w:type="dxa"/>
          </w:tcPr>
          <w:p w14:paraId="17F7BC01"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3</w:t>
            </w:r>
            <w:r>
              <w:rPr>
                <w:rFonts w:eastAsia="Times New Roman" w:cs="Times New Roman"/>
                <w:b/>
                <w:bCs/>
                <w:sz w:val="18"/>
                <w:szCs w:val="18"/>
              </w:rPr>
              <w:t xml:space="preserve"> </w:t>
            </w:r>
            <w:r w:rsidRPr="00B33DA7">
              <w:rPr>
                <w:rFonts w:asciiTheme="minorHAnsi" w:eastAsia="Times New Roman" w:hAnsiTheme="minorHAnsi" w:cs="Times New Roman"/>
                <w:b/>
                <w:bCs/>
                <w:sz w:val="18"/>
                <w:szCs w:val="18"/>
              </w:rPr>
              <w:t>Moderate</w:t>
            </w:r>
          </w:p>
        </w:tc>
        <w:tc>
          <w:tcPr>
            <w:tcW w:w="1418" w:type="dxa"/>
            <w:shd w:val="clear" w:color="auto" w:fill="00B050"/>
          </w:tcPr>
          <w:p w14:paraId="15F432E1"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3 – low</w:t>
            </w:r>
          </w:p>
        </w:tc>
        <w:tc>
          <w:tcPr>
            <w:tcW w:w="1417" w:type="dxa"/>
            <w:shd w:val="clear" w:color="auto" w:fill="FFFF00"/>
          </w:tcPr>
          <w:p w14:paraId="5450A446"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6 – moderate</w:t>
            </w:r>
          </w:p>
        </w:tc>
        <w:tc>
          <w:tcPr>
            <w:tcW w:w="1418" w:type="dxa"/>
            <w:tcBorders>
              <w:bottom w:val="single" w:sz="24" w:space="0" w:color="auto"/>
              <w:right w:val="single" w:sz="24" w:space="0" w:color="auto"/>
            </w:tcBorders>
            <w:shd w:val="clear" w:color="auto" w:fill="FFFF00"/>
          </w:tcPr>
          <w:p w14:paraId="34BAF6A9"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9 – moderate</w:t>
            </w:r>
          </w:p>
        </w:tc>
        <w:tc>
          <w:tcPr>
            <w:tcW w:w="1275" w:type="dxa"/>
            <w:tcBorders>
              <w:top w:val="single" w:sz="24" w:space="0" w:color="auto"/>
              <w:left w:val="single" w:sz="24" w:space="0" w:color="auto"/>
            </w:tcBorders>
            <w:shd w:val="clear" w:color="auto" w:fill="FFC000"/>
          </w:tcPr>
          <w:p w14:paraId="03957416"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12 – high</w:t>
            </w:r>
          </w:p>
        </w:tc>
        <w:tc>
          <w:tcPr>
            <w:tcW w:w="1701" w:type="dxa"/>
            <w:shd w:val="clear" w:color="auto" w:fill="FFC000"/>
          </w:tcPr>
          <w:p w14:paraId="1793166F"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15 – high</w:t>
            </w:r>
          </w:p>
        </w:tc>
      </w:tr>
      <w:tr w:rsidR="00B21FD3" w:rsidRPr="00B33DA7" w14:paraId="197C436C" w14:textId="77777777" w:rsidTr="005E3271">
        <w:tc>
          <w:tcPr>
            <w:tcW w:w="1838" w:type="dxa"/>
          </w:tcPr>
          <w:p w14:paraId="5437051E"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4</w:t>
            </w:r>
            <w:r>
              <w:rPr>
                <w:rFonts w:eastAsia="Times New Roman" w:cs="Times New Roman"/>
                <w:b/>
                <w:bCs/>
                <w:sz w:val="18"/>
                <w:szCs w:val="18"/>
              </w:rPr>
              <w:t xml:space="preserve"> </w:t>
            </w:r>
            <w:r w:rsidRPr="00B33DA7">
              <w:rPr>
                <w:rFonts w:asciiTheme="minorHAnsi" w:eastAsia="Times New Roman" w:hAnsiTheme="minorHAnsi" w:cs="Times New Roman"/>
                <w:b/>
                <w:bCs/>
                <w:sz w:val="18"/>
                <w:szCs w:val="18"/>
              </w:rPr>
              <w:t>Major</w:t>
            </w:r>
          </w:p>
        </w:tc>
        <w:tc>
          <w:tcPr>
            <w:tcW w:w="1418" w:type="dxa"/>
            <w:shd w:val="clear" w:color="auto" w:fill="00B050"/>
          </w:tcPr>
          <w:p w14:paraId="5DCC29AA"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4 – low</w:t>
            </w:r>
          </w:p>
        </w:tc>
        <w:tc>
          <w:tcPr>
            <w:tcW w:w="1417" w:type="dxa"/>
            <w:tcBorders>
              <w:bottom w:val="single" w:sz="24" w:space="0" w:color="auto"/>
              <w:right w:val="single" w:sz="24" w:space="0" w:color="auto"/>
            </w:tcBorders>
            <w:shd w:val="clear" w:color="auto" w:fill="FFFF00"/>
          </w:tcPr>
          <w:p w14:paraId="7C6734EC"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8 – moderate</w:t>
            </w:r>
          </w:p>
        </w:tc>
        <w:tc>
          <w:tcPr>
            <w:tcW w:w="1418" w:type="dxa"/>
            <w:tcBorders>
              <w:top w:val="single" w:sz="24" w:space="0" w:color="auto"/>
              <w:left w:val="single" w:sz="24" w:space="0" w:color="auto"/>
            </w:tcBorders>
            <w:shd w:val="clear" w:color="auto" w:fill="FFC000"/>
          </w:tcPr>
          <w:p w14:paraId="1E663D98"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12 – high</w:t>
            </w:r>
          </w:p>
        </w:tc>
        <w:tc>
          <w:tcPr>
            <w:tcW w:w="1275" w:type="dxa"/>
            <w:shd w:val="clear" w:color="auto" w:fill="FF0000"/>
          </w:tcPr>
          <w:p w14:paraId="5355AD6F"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16 – critical</w:t>
            </w:r>
          </w:p>
        </w:tc>
        <w:tc>
          <w:tcPr>
            <w:tcW w:w="1701" w:type="dxa"/>
            <w:shd w:val="clear" w:color="auto" w:fill="FF0000"/>
          </w:tcPr>
          <w:p w14:paraId="18EB6487"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20 – critical</w:t>
            </w:r>
          </w:p>
        </w:tc>
      </w:tr>
      <w:tr w:rsidR="00B21FD3" w:rsidRPr="00B33DA7" w14:paraId="5DE4C864" w14:textId="77777777" w:rsidTr="005E3271">
        <w:tc>
          <w:tcPr>
            <w:tcW w:w="1838" w:type="dxa"/>
          </w:tcPr>
          <w:p w14:paraId="4F333870" w14:textId="77777777" w:rsidR="00B21FD3" w:rsidRPr="00B33DA7" w:rsidRDefault="00B21FD3" w:rsidP="005E3271">
            <w:pPr>
              <w:spacing w:before="100" w:beforeAutospacing="1" w:after="100" w:afterAutospacing="1"/>
              <w:rPr>
                <w:rFonts w:asciiTheme="minorHAnsi" w:eastAsia="Times New Roman" w:hAnsiTheme="minorHAnsi" w:cs="Times New Roman"/>
                <w:b/>
                <w:bCs/>
                <w:sz w:val="18"/>
                <w:szCs w:val="18"/>
              </w:rPr>
            </w:pPr>
            <w:r w:rsidRPr="00B33DA7">
              <w:rPr>
                <w:rFonts w:asciiTheme="minorHAnsi" w:eastAsia="Times New Roman" w:hAnsiTheme="minorHAnsi" w:cs="Times New Roman"/>
                <w:b/>
                <w:bCs/>
                <w:sz w:val="18"/>
                <w:szCs w:val="18"/>
              </w:rPr>
              <w:t>5</w:t>
            </w:r>
            <w:r>
              <w:rPr>
                <w:rFonts w:eastAsia="Times New Roman" w:cs="Times New Roman"/>
                <w:b/>
                <w:bCs/>
                <w:sz w:val="18"/>
                <w:szCs w:val="18"/>
              </w:rPr>
              <w:t xml:space="preserve"> </w:t>
            </w:r>
            <w:r w:rsidRPr="00B33DA7">
              <w:rPr>
                <w:rFonts w:asciiTheme="minorHAnsi" w:eastAsia="Times New Roman" w:hAnsiTheme="minorHAnsi" w:cs="Times New Roman"/>
                <w:b/>
                <w:bCs/>
                <w:sz w:val="18"/>
                <w:szCs w:val="18"/>
              </w:rPr>
              <w:t xml:space="preserve">Extreme </w:t>
            </w:r>
          </w:p>
        </w:tc>
        <w:tc>
          <w:tcPr>
            <w:tcW w:w="1418" w:type="dxa"/>
            <w:tcBorders>
              <w:right w:val="single" w:sz="24" w:space="0" w:color="auto"/>
            </w:tcBorders>
            <w:shd w:val="clear" w:color="auto" w:fill="FFFF00"/>
          </w:tcPr>
          <w:p w14:paraId="7B08EEFC"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5 – moderate</w:t>
            </w:r>
          </w:p>
        </w:tc>
        <w:tc>
          <w:tcPr>
            <w:tcW w:w="1417" w:type="dxa"/>
            <w:tcBorders>
              <w:top w:val="single" w:sz="24" w:space="0" w:color="auto"/>
              <w:left w:val="single" w:sz="24" w:space="0" w:color="auto"/>
            </w:tcBorders>
            <w:shd w:val="clear" w:color="auto" w:fill="FFC000"/>
          </w:tcPr>
          <w:p w14:paraId="20C532A2"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 xml:space="preserve">10 – high </w:t>
            </w:r>
          </w:p>
        </w:tc>
        <w:tc>
          <w:tcPr>
            <w:tcW w:w="1418" w:type="dxa"/>
            <w:shd w:val="clear" w:color="auto" w:fill="FF0000"/>
          </w:tcPr>
          <w:p w14:paraId="483438B5"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15 – critical</w:t>
            </w:r>
          </w:p>
        </w:tc>
        <w:tc>
          <w:tcPr>
            <w:tcW w:w="1275" w:type="dxa"/>
            <w:shd w:val="clear" w:color="auto" w:fill="FF0000"/>
          </w:tcPr>
          <w:p w14:paraId="16705904"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20 – critical</w:t>
            </w:r>
          </w:p>
        </w:tc>
        <w:tc>
          <w:tcPr>
            <w:tcW w:w="1701" w:type="dxa"/>
            <w:shd w:val="clear" w:color="auto" w:fill="FF0000"/>
          </w:tcPr>
          <w:p w14:paraId="6F139916" w14:textId="77777777" w:rsidR="00B21FD3" w:rsidRPr="00B33DA7" w:rsidRDefault="00B21FD3" w:rsidP="005E3271">
            <w:pPr>
              <w:spacing w:before="100" w:beforeAutospacing="1" w:after="100" w:afterAutospacing="1"/>
              <w:rPr>
                <w:rFonts w:asciiTheme="minorHAnsi" w:eastAsia="Times New Roman" w:hAnsiTheme="minorHAnsi" w:cs="Times New Roman"/>
                <w:sz w:val="18"/>
                <w:szCs w:val="18"/>
              </w:rPr>
            </w:pPr>
            <w:r w:rsidRPr="00B33DA7">
              <w:rPr>
                <w:rFonts w:asciiTheme="minorHAnsi" w:eastAsia="Times New Roman" w:hAnsiTheme="minorHAnsi" w:cs="Times New Roman"/>
                <w:sz w:val="18"/>
                <w:szCs w:val="18"/>
              </w:rPr>
              <w:t xml:space="preserve">25 – critical </w:t>
            </w:r>
          </w:p>
        </w:tc>
      </w:tr>
    </w:tbl>
    <w:p w14:paraId="67FA092D" w14:textId="0BA86CBC" w:rsidR="008C75C2" w:rsidRPr="00363318" w:rsidRDefault="008C75C2" w:rsidP="00363318">
      <w:pPr>
        <w:spacing w:before="96"/>
        <w:rPr>
          <w:rFonts w:ascii="Arial"/>
          <w:sz w:val="16"/>
        </w:rPr>
      </w:pPr>
    </w:p>
    <w:p w14:paraId="7E3EF84F" w14:textId="77777777" w:rsidR="008C75C2" w:rsidRDefault="00DB374D">
      <w:pPr>
        <w:pStyle w:val="Heading1"/>
        <w:spacing w:before="57"/>
      </w:pPr>
      <w:r>
        <w:t>In Practice</w:t>
      </w:r>
    </w:p>
    <w:p w14:paraId="50C8DD4B" w14:textId="77777777" w:rsidR="008C75C2" w:rsidRDefault="008C75C2">
      <w:pPr>
        <w:pStyle w:val="BodyText"/>
        <w:rPr>
          <w:b/>
        </w:rPr>
      </w:pPr>
    </w:p>
    <w:p w14:paraId="44DE63FB" w14:textId="11378624" w:rsidR="008C75C2" w:rsidRDefault="00DB374D" w:rsidP="0025570E">
      <w:pPr>
        <w:pStyle w:val="ListParagraph"/>
        <w:numPr>
          <w:ilvl w:val="0"/>
          <w:numId w:val="2"/>
        </w:numPr>
        <w:tabs>
          <w:tab w:val="left" w:pos="461"/>
        </w:tabs>
      </w:pPr>
      <w:r>
        <w:t xml:space="preserve">When a new activity is proposed, for example as part of the annual planning and budgeting process, it is vital that a risk assessment is undertaken. This will quantify the level of risk and will inform whether an activity should be pursued. As noted above, activities that are judged to be high-risk will be undertaken only where they offer benefits proportionate with the level of risk involved. For </w:t>
      </w:r>
      <w:proofErr w:type="gramStart"/>
      <w:r>
        <w:t>instance</w:t>
      </w:r>
      <w:proofErr w:type="gramEnd"/>
      <w:r>
        <w:t xml:space="preserve"> the University has undertaken some significant capital development</w:t>
      </w:r>
      <w:r w:rsidR="00807DA8">
        <w:t>s over recent years</w:t>
      </w:r>
      <w:r>
        <w:t xml:space="preserve"> funding </w:t>
      </w:r>
      <w:r w:rsidR="00807DA8">
        <w:t xml:space="preserve">by </w:t>
      </w:r>
      <w:r>
        <w:t xml:space="preserve">borrowing. This borrowing has increased the level of financial risk for the University and core business risks in the event of the milestones for the projects are not met. There were other risks that were considered if the </w:t>
      </w:r>
      <w:proofErr w:type="gramStart"/>
      <w:r>
        <w:t>long term</w:t>
      </w:r>
      <w:proofErr w:type="gramEnd"/>
      <w:r>
        <w:t xml:space="preserve"> investment in the University’s estate was not taken forward including competitiveness and stewardship. The benefits associated with the projects were deemed to outweigh the financial risks identified and address the reputational risks, and hence the projects were all approved by University</w:t>
      </w:r>
      <w:r>
        <w:rPr>
          <w:spacing w:val="-2"/>
        </w:rPr>
        <w:t xml:space="preserve"> </w:t>
      </w:r>
      <w:r>
        <w:t>Court.</w:t>
      </w:r>
    </w:p>
    <w:p w14:paraId="22AE76F1" w14:textId="77777777" w:rsidR="008C75C2" w:rsidRDefault="008C75C2" w:rsidP="0025570E">
      <w:pPr>
        <w:pStyle w:val="BodyText"/>
        <w:spacing w:before="1"/>
        <w:jc w:val="both"/>
      </w:pPr>
    </w:p>
    <w:p w14:paraId="1A15BE77" w14:textId="77777777" w:rsidR="008C75C2" w:rsidRDefault="00DB374D" w:rsidP="0025570E">
      <w:pPr>
        <w:pStyle w:val="Heading1"/>
        <w:jc w:val="both"/>
      </w:pPr>
      <w:r>
        <w:t>Monitoring</w:t>
      </w:r>
    </w:p>
    <w:p w14:paraId="4F389693" w14:textId="77777777" w:rsidR="008C75C2" w:rsidRDefault="008C75C2" w:rsidP="0025570E">
      <w:pPr>
        <w:pStyle w:val="BodyText"/>
        <w:spacing w:before="1"/>
        <w:jc w:val="both"/>
        <w:rPr>
          <w:b/>
        </w:rPr>
      </w:pPr>
    </w:p>
    <w:p w14:paraId="48F559D9" w14:textId="77777777" w:rsidR="008C75C2" w:rsidRDefault="00DB374D" w:rsidP="0025570E">
      <w:pPr>
        <w:pStyle w:val="ListParagraph"/>
        <w:numPr>
          <w:ilvl w:val="0"/>
          <w:numId w:val="2"/>
        </w:numPr>
        <w:tabs>
          <w:tab w:val="left" w:pos="461"/>
        </w:tabs>
        <w:ind w:right="1795"/>
      </w:pPr>
      <w:r>
        <w:t>In accordance with the above statement, appetite for risk will be assessed for individual activities. The University’s overall risk appetite can therefore be discerned through decisions made by Court, Academic Council and the University Strategy &amp; Policy Group (USPG). The monitoring</w:t>
      </w:r>
      <w:r>
        <w:rPr>
          <w:spacing w:val="-11"/>
        </w:rPr>
        <w:t xml:space="preserve"> </w:t>
      </w:r>
      <w:r>
        <w:t>of</w:t>
      </w:r>
      <w:r>
        <w:rPr>
          <w:spacing w:val="-8"/>
        </w:rPr>
        <w:t xml:space="preserve"> </w:t>
      </w:r>
      <w:r>
        <w:t>risk</w:t>
      </w:r>
      <w:r>
        <w:rPr>
          <w:spacing w:val="-7"/>
        </w:rPr>
        <w:t xml:space="preserve"> </w:t>
      </w:r>
      <w:r>
        <w:t>appetite</w:t>
      </w:r>
      <w:r>
        <w:rPr>
          <w:spacing w:val="-12"/>
        </w:rPr>
        <w:t xml:space="preserve"> </w:t>
      </w:r>
      <w:r>
        <w:t>will</w:t>
      </w:r>
      <w:r>
        <w:rPr>
          <w:spacing w:val="-8"/>
        </w:rPr>
        <w:t xml:space="preserve"> </w:t>
      </w:r>
      <w:r>
        <w:t>be</w:t>
      </w:r>
      <w:r>
        <w:rPr>
          <w:spacing w:val="-7"/>
        </w:rPr>
        <w:t xml:space="preserve"> </w:t>
      </w:r>
      <w:r>
        <w:t>linked</w:t>
      </w:r>
      <w:r>
        <w:rPr>
          <w:spacing w:val="-8"/>
        </w:rPr>
        <w:t xml:space="preserve"> </w:t>
      </w:r>
      <w:r>
        <w:t>to</w:t>
      </w:r>
      <w:r>
        <w:rPr>
          <w:spacing w:val="-8"/>
        </w:rPr>
        <w:t xml:space="preserve"> </w:t>
      </w:r>
      <w:r>
        <w:t>the</w:t>
      </w:r>
      <w:r>
        <w:rPr>
          <w:spacing w:val="-10"/>
        </w:rPr>
        <w:t xml:space="preserve"> </w:t>
      </w:r>
      <w:r>
        <w:t>monitoring</w:t>
      </w:r>
      <w:r>
        <w:rPr>
          <w:spacing w:val="-9"/>
        </w:rPr>
        <w:t xml:space="preserve"> </w:t>
      </w:r>
      <w:r>
        <w:t>of</w:t>
      </w:r>
      <w:r>
        <w:rPr>
          <w:spacing w:val="-7"/>
        </w:rPr>
        <w:t xml:space="preserve"> </w:t>
      </w:r>
      <w:r>
        <w:t>performance</w:t>
      </w:r>
      <w:r>
        <w:rPr>
          <w:spacing w:val="-10"/>
        </w:rPr>
        <w:t xml:space="preserve"> </w:t>
      </w:r>
      <w:r>
        <w:t>through</w:t>
      </w:r>
      <w:r>
        <w:rPr>
          <w:spacing w:val="-8"/>
        </w:rPr>
        <w:t xml:space="preserve"> </w:t>
      </w:r>
      <w:r>
        <w:t>the</w:t>
      </w:r>
      <w:r>
        <w:rPr>
          <w:spacing w:val="-8"/>
        </w:rPr>
        <w:t xml:space="preserve"> </w:t>
      </w:r>
      <w:r>
        <w:t>use</w:t>
      </w:r>
      <w:r>
        <w:rPr>
          <w:spacing w:val="-10"/>
        </w:rPr>
        <w:t xml:space="preserve"> </w:t>
      </w:r>
      <w:r>
        <w:t>of</w:t>
      </w:r>
      <w:r>
        <w:rPr>
          <w:spacing w:val="-7"/>
        </w:rPr>
        <w:t xml:space="preserve"> </w:t>
      </w:r>
      <w:r>
        <w:t>key performance indicators and the Register of Strategic Risk. The overall balance of these decisions, and</w:t>
      </w:r>
      <w:r>
        <w:rPr>
          <w:spacing w:val="-11"/>
        </w:rPr>
        <w:t xml:space="preserve"> </w:t>
      </w:r>
      <w:r>
        <w:t>therefore</w:t>
      </w:r>
      <w:r>
        <w:rPr>
          <w:spacing w:val="-9"/>
        </w:rPr>
        <w:t xml:space="preserve"> </w:t>
      </w:r>
      <w:r>
        <w:t>risk</w:t>
      </w:r>
      <w:r>
        <w:rPr>
          <w:spacing w:val="-10"/>
        </w:rPr>
        <w:t xml:space="preserve"> </w:t>
      </w:r>
      <w:r>
        <w:t>appetite,</w:t>
      </w:r>
      <w:r>
        <w:rPr>
          <w:spacing w:val="-12"/>
        </w:rPr>
        <w:t xml:space="preserve"> </w:t>
      </w:r>
      <w:r>
        <w:t>will</w:t>
      </w:r>
      <w:r>
        <w:rPr>
          <w:spacing w:val="-11"/>
        </w:rPr>
        <w:t xml:space="preserve"> </w:t>
      </w:r>
      <w:r>
        <w:t>be</w:t>
      </w:r>
      <w:r>
        <w:rPr>
          <w:spacing w:val="-9"/>
        </w:rPr>
        <w:t xml:space="preserve"> </w:t>
      </w:r>
      <w:r>
        <w:t>reviewed</w:t>
      </w:r>
      <w:r>
        <w:rPr>
          <w:spacing w:val="-9"/>
        </w:rPr>
        <w:t xml:space="preserve"> </w:t>
      </w:r>
      <w:r>
        <w:t>periodically</w:t>
      </w:r>
      <w:r>
        <w:rPr>
          <w:spacing w:val="-10"/>
        </w:rPr>
        <w:t xml:space="preserve"> </w:t>
      </w:r>
      <w:r>
        <w:t>through</w:t>
      </w:r>
      <w:r>
        <w:rPr>
          <w:spacing w:val="-10"/>
        </w:rPr>
        <w:t xml:space="preserve"> </w:t>
      </w:r>
      <w:r>
        <w:t>the</w:t>
      </w:r>
      <w:r>
        <w:rPr>
          <w:spacing w:val="-10"/>
        </w:rPr>
        <w:t xml:space="preserve"> </w:t>
      </w:r>
      <w:r>
        <w:t>University’s</w:t>
      </w:r>
      <w:r>
        <w:rPr>
          <w:spacing w:val="-12"/>
        </w:rPr>
        <w:t xml:space="preserve"> </w:t>
      </w:r>
      <w:r>
        <w:t>annual</w:t>
      </w:r>
      <w:r>
        <w:rPr>
          <w:spacing w:val="-11"/>
        </w:rPr>
        <w:t xml:space="preserve"> </w:t>
      </w:r>
      <w:r>
        <w:t>planning process and will be reported to Audit Committee and University</w:t>
      </w:r>
      <w:r>
        <w:rPr>
          <w:spacing w:val="-9"/>
        </w:rPr>
        <w:t xml:space="preserve"> </w:t>
      </w:r>
      <w:r>
        <w:t>Court.</w:t>
      </w:r>
    </w:p>
    <w:p w14:paraId="0784A883" w14:textId="77777777" w:rsidR="008C75C2" w:rsidRDefault="008C75C2">
      <w:pPr>
        <w:pStyle w:val="BodyText"/>
      </w:pPr>
    </w:p>
    <w:p w14:paraId="0741526E" w14:textId="77777777" w:rsidR="008C75C2" w:rsidRDefault="008C75C2">
      <w:pPr>
        <w:pStyle w:val="BodyText"/>
      </w:pPr>
    </w:p>
    <w:p w14:paraId="7003F936" w14:textId="77777777" w:rsidR="008C75C2" w:rsidRDefault="008C75C2">
      <w:pPr>
        <w:pStyle w:val="BodyText"/>
      </w:pPr>
    </w:p>
    <w:p w14:paraId="637C6FBF" w14:textId="77777777" w:rsidR="008C75C2" w:rsidRDefault="008C75C2">
      <w:pPr>
        <w:pStyle w:val="BodyText"/>
      </w:pPr>
    </w:p>
    <w:p w14:paraId="37D7D837" w14:textId="77777777" w:rsidR="008C75C2" w:rsidRDefault="00DB374D">
      <w:pPr>
        <w:ind w:left="100"/>
        <w:rPr>
          <w:sz w:val="18"/>
        </w:rPr>
      </w:pPr>
      <w:r>
        <w:rPr>
          <w:sz w:val="18"/>
        </w:rPr>
        <w:t>Policy &amp; Planning</w:t>
      </w:r>
    </w:p>
    <w:p w14:paraId="5DE80F47" w14:textId="2FBD4299" w:rsidR="007B3662" w:rsidRDefault="00DB374D">
      <w:pPr>
        <w:spacing w:before="2"/>
        <w:ind w:left="100"/>
        <w:rPr>
          <w:sz w:val="18"/>
        </w:rPr>
      </w:pPr>
      <w:r>
        <w:rPr>
          <w:sz w:val="18"/>
        </w:rPr>
        <w:t xml:space="preserve">Approved by Court </w:t>
      </w:r>
      <w:r w:rsidR="001C3327">
        <w:rPr>
          <w:sz w:val="18"/>
        </w:rPr>
        <w:t>June 2021</w:t>
      </w:r>
    </w:p>
    <w:p w14:paraId="0AB0C240" w14:textId="3A18BC7C" w:rsidR="000165F7" w:rsidRDefault="000165F7">
      <w:pPr>
        <w:spacing w:before="2"/>
        <w:ind w:left="100"/>
        <w:rPr>
          <w:sz w:val="18"/>
        </w:rPr>
      </w:pPr>
    </w:p>
    <w:p w14:paraId="6203B377" w14:textId="3B939B94" w:rsidR="000165F7" w:rsidRDefault="000165F7">
      <w:pPr>
        <w:spacing w:before="2"/>
        <w:ind w:left="100"/>
        <w:rPr>
          <w:sz w:val="18"/>
        </w:rPr>
      </w:pPr>
      <w:r>
        <w:rPr>
          <w:sz w:val="18"/>
        </w:rPr>
        <w:t>Data Classification: Public</w:t>
      </w:r>
    </w:p>
    <w:sectPr w:rsidR="000165F7">
      <w:headerReference w:type="even" r:id="rId8"/>
      <w:headerReference w:type="default" r:id="rId9"/>
      <w:footerReference w:type="even" r:id="rId10"/>
      <w:footerReference w:type="default" r:id="rId11"/>
      <w:headerReference w:type="first" r:id="rId12"/>
      <w:footerReference w:type="first" r:id="rId13"/>
      <w:pgSz w:w="12240" w:h="15840"/>
      <w:pgMar w:top="1500" w:right="0" w:bottom="920" w:left="1700" w:header="0" w:footer="7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8C26F" w14:textId="77777777" w:rsidR="00AF7174" w:rsidRDefault="00AF7174">
      <w:r>
        <w:separator/>
      </w:r>
    </w:p>
  </w:endnote>
  <w:endnote w:type="continuationSeparator" w:id="0">
    <w:p w14:paraId="777420B1" w14:textId="77777777" w:rsidR="00AF7174" w:rsidRDefault="00AF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A618" w14:textId="77777777" w:rsidR="003201C7" w:rsidRDefault="003201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3555209"/>
      <w:docPartObj>
        <w:docPartGallery w:val="Page Numbers (Bottom of Page)"/>
        <w:docPartUnique/>
      </w:docPartObj>
    </w:sdtPr>
    <w:sdtEndPr>
      <w:rPr>
        <w:noProof/>
      </w:rPr>
    </w:sdtEndPr>
    <w:sdtContent>
      <w:p w14:paraId="47F6D24E" w14:textId="6462CC29" w:rsidR="003201C7" w:rsidRDefault="003201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7DE1AC" w14:textId="13CB2CD9" w:rsidR="008C75C2" w:rsidRDefault="008C75C2">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425" w14:textId="77777777" w:rsidR="003201C7" w:rsidRDefault="003201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67184" w14:textId="77777777" w:rsidR="00AF7174" w:rsidRDefault="00AF7174">
      <w:r>
        <w:separator/>
      </w:r>
    </w:p>
  </w:footnote>
  <w:footnote w:type="continuationSeparator" w:id="0">
    <w:p w14:paraId="3EBC7051" w14:textId="77777777" w:rsidR="00AF7174" w:rsidRDefault="00AF7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AB2CB" w14:textId="77777777" w:rsidR="003201C7" w:rsidRDefault="003201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A91FB" w14:textId="77777777" w:rsidR="001F4FE8" w:rsidRDefault="001F4FE8" w:rsidP="001F4FE8">
    <w:pPr>
      <w:pStyle w:val="Header"/>
      <w:ind w:right="1751"/>
      <w:jc w:val="center"/>
    </w:pPr>
    <w:r>
      <w:ptab w:relativeTo="margin" w:alignment="center" w:leader="none"/>
    </w:r>
    <w:r>
      <w:ptab w:relativeTo="margin" w:alignment="right" w:leader="none"/>
    </w:r>
  </w:p>
  <w:p w14:paraId="5745A23D" w14:textId="77777777" w:rsidR="001F4FE8" w:rsidRDefault="001F4FE8" w:rsidP="001F4FE8">
    <w:pPr>
      <w:pStyle w:val="Header"/>
      <w:ind w:right="1751"/>
      <w:jc w:val="center"/>
    </w:pPr>
  </w:p>
  <w:p w14:paraId="2A183870" w14:textId="6601FC71" w:rsidR="0025570E" w:rsidRDefault="001F4FE8" w:rsidP="001F4FE8">
    <w:pPr>
      <w:pStyle w:val="Header"/>
      <w:ind w:right="1751"/>
      <w:jc w:val="center"/>
    </w:pP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C0500" w14:textId="77777777" w:rsidR="003201C7" w:rsidRDefault="003201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516BA"/>
    <w:multiLevelType w:val="hybridMultilevel"/>
    <w:tmpl w:val="41908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32E190E"/>
    <w:multiLevelType w:val="hybridMultilevel"/>
    <w:tmpl w:val="E7AC4B9C"/>
    <w:lvl w:ilvl="0" w:tplc="0FEC1AEA">
      <w:start w:val="1"/>
      <w:numFmt w:val="decimal"/>
      <w:lvlText w:val="%1"/>
      <w:lvlJc w:val="left"/>
      <w:pPr>
        <w:ind w:left="100" w:hanging="360"/>
        <w:jc w:val="left"/>
      </w:pPr>
      <w:rPr>
        <w:rFonts w:ascii="Calibri" w:eastAsia="Calibri" w:hAnsi="Calibri" w:cs="Calibri" w:hint="default"/>
        <w:w w:val="100"/>
        <w:sz w:val="22"/>
        <w:szCs w:val="22"/>
        <w:lang w:val="en-GB" w:eastAsia="en-GB" w:bidi="en-GB"/>
      </w:rPr>
    </w:lvl>
    <w:lvl w:ilvl="1" w:tplc="E572EA66">
      <w:numFmt w:val="bullet"/>
      <w:lvlText w:val="•"/>
      <w:lvlJc w:val="left"/>
      <w:pPr>
        <w:ind w:left="1144" w:hanging="360"/>
      </w:pPr>
      <w:rPr>
        <w:rFonts w:hint="default"/>
        <w:lang w:val="en-GB" w:eastAsia="en-GB" w:bidi="en-GB"/>
      </w:rPr>
    </w:lvl>
    <w:lvl w:ilvl="2" w:tplc="106C6680">
      <w:numFmt w:val="bullet"/>
      <w:lvlText w:val="•"/>
      <w:lvlJc w:val="left"/>
      <w:pPr>
        <w:ind w:left="2188" w:hanging="360"/>
      </w:pPr>
      <w:rPr>
        <w:rFonts w:hint="default"/>
        <w:lang w:val="en-GB" w:eastAsia="en-GB" w:bidi="en-GB"/>
      </w:rPr>
    </w:lvl>
    <w:lvl w:ilvl="3" w:tplc="A8B0D452">
      <w:numFmt w:val="bullet"/>
      <w:lvlText w:val="•"/>
      <w:lvlJc w:val="left"/>
      <w:pPr>
        <w:ind w:left="3232" w:hanging="360"/>
      </w:pPr>
      <w:rPr>
        <w:rFonts w:hint="default"/>
        <w:lang w:val="en-GB" w:eastAsia="en-GB" w:bidi="en-GB"/>
      </w:rPr>
    </w:lvl>
    <w:lvl w:ilvl="4" w:tplc="CCDA70D4">
      <w:numFmt w:val="bullet"/>
      <w:lvlText w:val="•"/>
      <w:lvlJc w:val="left"/>
      <w:pPr>
        <w:ind w:left="4276" w:hanging="360"/>
      </w:pPr>
      <w:rPr>
        <w:rFonts w:hint="default"/>
        <w:lang w:val="en-GB" w:eastAsia="en-GB" w:bidi="en-GB"/>
      </w:rPr>
    </w:lvl>
    <w:lvl w:ilvl="5" w:tplc="1046C252">
      <w:numFmt w:val="bullet"/>
      <w:lvlText w:val="•"/>
      <w:lvlJc w:val="left"/>
      <w:pPr>
        <w:ind w:left="5320" w:hanging="360"/>
      </w:pPr>
      <w:rPr>
        <w:rFonts w:hint="default"/>
        <w:lang w:val="en-GB" w:eastAsia="en-GB" w:bidi="en-GB"/>
      </w:rPr>
    </w:lvl>
    <w:lvl w:ilvl="6" w:tplc="513026FC">
      <w:numFmt w:val="bullet"/>
      <w:lvlText w:val="•"/>
      <w:lvlJc w:val="left"/>
      <w:pPr>
        <w:ind w:left="6364" w:hanging="360"/>
      </w:pPr>
      <w:rPr>
        <w:rFonts w:hint="default"/>
        <w:lang w:val="en-GB" w:eastAsia="en-GB" w:bidi="en-GB"/>
      </w:rPr>
    </w:lvl>
    <w:lvl w:ilvl="7" w:tplc="E36087B0">
      <w:numFmt w:val="bullet"/>
      <w:lvlText w:val="•"/>
      <w:lvlJc w:val="left"/>
      <w:pPr>
        <w:ind w:left="7408" w:hanging="360"/>
      </w:pPr>
      <w:rPr>
        <w:rFonts w:hint="default"/>
        <w:lang w:val="en-GB" w:eastAsia="en-GB" w:bidi="en-GB"/>
      </w:rPr>
    </w:lvl>
    <w:lvl w:ilvl="8" w:tplc="ECCA960E">
      <w:numFmt w:val="bullet"/>
      <w:lvlText w:val="•"/>
      <w:lvlJc w:val="left"/>
      <w:pPr>
        <w:ind w:left="8452" w:hanging="360"/>
      </w:pPr>
      <w:rPr>
        <w:rFonts w:hint="default"/>
        <w:lang w:val="en-GB" w:eastAsia="en-GB" w:bidi="en-GB"/>
      </w:rPr>
    </w:lvl>
  </w:abstractNum>
  <w:num w:numId="1" w16cid:durableId="881020700">
    <w:abstractNumId w:val="1"/>
  </w:num>
  <w:num w:numId="2" w16cid:durableId="486676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5C2"/>
    <w:rsid w:val="000165F7"/>
    <w:rsid w:val="000C1366"/>
    <w:rsid w:val="00166EE6"/>
    <w:rsid w:val="001C3327"/>
    <w:rsid w:val="001F4FE8"/>
    <w:rsid w:val="0025570E"/>
    <w:rsid w:val="003201C7"/>
    <w:rsid w:val="00363318"/>
    <w:rsid w:val="00385DCD"/>
    <w:rsid w:val="00387A4C"/>
    <w:rsid w:val="004A79B1"/>
    <w:rsid w:val="00596AA6"/>
    <w:rsid w:val="005A2B9B"/>
    <w:rsid w:val="00685935"/>
    <w:rsid w:val="006E168D"/>
    <w:rsid w:val="00750865"/>
    <w:rsid w:val="007B3662"/>
    <w:rsid w:val="00807DA8"/>
    <w:rsid w:val="00846D6A"/>
    <w:rsid w:val="008C75C2"/>
    <w:rsid w:val="00AA60E7"/>
    <w:rsid w:val="00AD4CD2"/>
    <w:rsid w:val="00AE29D3"/>
    <w:rsid w:val="00AF7174"/>
    <w:rsid w:val="00B21FD3"/>
    <w:rsid w:val="00DB374D"/>
    <w:rsid w:val="00FB6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4F745"/>
  <w15:docId w15:val="{90DB1F49-325C-E841-A8D8-D1D2331B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00" w:right="1794"/>
      <w:jc w:val="both"/>
    </w:pPr>
  </w:style>
  <w:style w:type="paragraph" w:customStyle="1" w:styleId="TableParagraph">
    <w:name w:val="Table Paragraph"/>
    <w:basedOn w:val="Normal"/>
    <w:uiPriority w:val="1"/>
    <w:qFormat/>
    <w:rPr>
      <w:rFonts w:ascii="Arial" w:eastAsia="Arial" w:hAnsi="Arial" w:cs="Arial"/>
    </w:rPr>
  </w:style>
  <w:style w:type="paragraph" w:styleId="BalloonText">
    <w:name w:val="Balloon Text"/>
    <w:basedOn w:val="Normal"/>
    <w:link w:val="BalloonTextChar"/>
    <w:uiPriority w:val="99"/>
    <w:semiHidden/>
    <w:unhideWhenUsed/>
    <w:rsid w:val="00166EE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66EE6"/>
    <w:rPr>
      <w:rFonts w:ascii="Times New Roman" w:eastAsia="Calibri" w:hAnsi="Times New Roman" w:cs="Times New Roman"/>
      <w:sz w:val="18"/>
      <w:szCs w:val="18"/>
      <w:lang w:val="en-GB" w:eastAsia="en-GB" w:bidi="en-GB"/>
    </w:rPr>
  </w:style>
  <w:style w:type="table" w:styleId="TableGrid">
    <w:name w:val="Table Grid"/>
    <w:basedOn w:val="TableNormal"/>
    <w:uiPriority w:val="39"/>
    <w:rsid w:val="00166EE6"/>
    <w:pPr>
      <w:widowControl/>
      <w:autoSpaceDE/>
      <w:autoSpaceDN/>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570E"/>
    <w:pPr>
      <w:tabs>
        <w:tab w:val="center" w:pos="4513"/>
        <w:tab w:val="right" w:pos="9026"/>
      </w:tabs>
    </w:pPr>
  </w:style>
  <w:style w:type="character" w:customStyle="1" w:styleId="HeaderChar">
    <w:name w:val="Header Char"/>
    <w:basedOn w:val="DefaultParagraphFont"/>
    <w:link w:val="Header"/>
    <w:uiPriority w:val="99"/>
    <w:rsid w:val="0025570E"/>
    <w:rPr>
      <w:rFonts w:ascii="Calibri" w:eastAsia="Calibri" w:hAnsi="Calibri" w:cs="Calibri"/>
      <w:lang w:val="en-GB" w:eastAsia="en-GB" w:bidi="en-GB"/>
    </w:rPr>
  </w:style>
  <w:style w:type="paragraph" w:styleId="Footer">
    <w:name w:val="footer"/>
    <w:basedOn w:val="Normal"/>
    <w:link w:val="FooterChar"/>
    <w:uiPriority w:val="99"/>
    <w:unhideWhenUsed/>
    <w:rsid w:val="0025570E"/>
    <w:pPr>
      <w:tabs>
        <w:tab w:val="center" w:pos="4513"/>
        <w:tab w:val="right" w:pos="9026"/>
      </w:tabs>
    </w:pPr>
  </w:style>
  <w:style w:type="character" w:customStyle="1" w:styleId="FooterChar">
    <w:name w:val="Footer Char"/>
    <w:basedOn w:val="DefaultParagraphFont"/>
    <w:link w:val="Footer"/>
    <w:uiPriority w:val="99"/>
    <w:rsid w:val="0025570E"/>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708</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Authorised User</dc:creator>
  <cp:lastModifiedBy>Moray Nichol</cp:lastModifiedBy>
  <cp:revision>16</cp:revision>
  <dcterms:created xsi:type="dcterms:W3CDTF">2021-04-27T15:05:00Z</dcterms:created>
  <dcterms:modified xsi:type="dcterms:W3CDTF">2022-08-18T09:23:00Z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Word 2016</vt:lpwstr>
  </property>
  <property fmtid="{D5CDD505-2E9C-101B-9397-08002B2CF9AE}" pid="4" name="LastSaved">
    <vt:filetime>2021-04-27T00:00:00Z</vt:filetime>
  </property>
</Properties>
</file>