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788F" w14:textId="77777777" w:rsidR="00151923" w:rsidRDefault="00185D35" w:rsidP="002A492F">
      <w:pPr>
        <w:pStyle w:val="BodyText"/>
        <w:keepNext/>
        <w:jc w:val="center"/>
      </w:pPr>
      <w:r>
        <w:rPr>
          <w:noProof/>
          <w:lang w:bidi="ar-SA"/>
        </w:rPr>
        <w:drawing>
          <wp:inline distT="0" distB="0" distL="0" distR="0" wp14:anchorId="0ECC445F" wp14:editId="12C796EB">
            <wp:extent cx="2105025" cy="640080"/>
            <wp:effectExtent l="0" t="0" r="9525" b="7620"/>
            <wp:docPr id="4" name="Picture 4"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8" cstate="print">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inline>
        </w:drawing>
      </w:r>
    </w:p>
    <w:p w14:paraId="5A3136C2" w14:textId="0669439D" w:rsidR="00185D35" w:rsidRDefault="00185D35" w:rsidP="00151923">
      <w:pPr>
        <w:pStyle w:val="Caption"/>
        <w:jc w:val="right"/>
        <w:rPr>
          <w:rFonts w:ascii="Times New Roman"/>
          <w:sz w:val="20"/>
        </w:rPr>
      </w:pPr>
    </w:p>
    <w:p w14:paraId="2D0E8659" w14:textId="77777777" w:rsidR="00185D35" w:rsidRDefault="00185D35" w:rsidP="00185D35">
      <w:pPr>
        <w:pStyle w:val="BodyText"/>
        <w:spacing w:before="9"/>
        <w:rPr>
          <w:rFonts w:ascii="Times New Roman"/>
          <w:sz w:val="19"/>
        </w:rPr>
      </w:pPr>
    </w:p>
    <w:p w14:paraId="2144BDF4" w14:textId="77777777" w:rsidR="00185D35" w:rsidRDefault="00185D35" w:rsidP="00185D35">
      <w:pPr>
        <w:pStyle w:val="BodyText"/>
        <w:ind w:left="2708"/>
        <w:rPr>
          <w:rFonts w:ascii="Times New Roman"/>
          <w:sz w:val="20"/>
        </w:rPr>
      </w:pPr>
    </w:p>
    <w:p w14:paraId="65380744" w14:textId="77777777" w:rsidR="00185D35" w:rsidRDefault="00185D35" w:rsidP="00185D35">
      <w:pPr>
        <w:pStyle w:val="BodyText"/>
        <w:rPr>
          <w:rFonts w:ascii="Times New Roman"/>
          <w:sz w:val="20"/>
        </w:rPr>
      </w:pPr>
    </w:p>
    <w:p w14:paraId="317B9C70" w14:textId="77777777" w:rsidR="00185D35" w:rsidRDefault="00185D35" w:rsidP="00185D35">
      <w:pPr>
        <w:pStyle w:val="BodyText"/>
        <w:rPr>
          <w:rFonts w:ascii="Times New Roman"/>
          <w:sz w:val="20"/>
        </w:rPr>
      </w:pPr>
    </w:p>
    <w:p w14:paraId="6E2D3B44" w14:textId="77777777" w:rsidR="00185D35" w:rsidRDefault="00185D35" w:rsidP="00185D35">
      <w:pPr>
        <w:pStyle w:val="BodyText"/>
        <w:rPr>
          <w:rFonts w:ascii="Times New Roman"/>
          <w:sz w:val="20"/>
        </w:rPr>
      </w:pPr>
    </w:p>
    <w:p w14:paraId="5847A3F3" w14:textId="77777777" w:rsidR="00185D35" w:rsidRDefault="00185D35" w:rsidP="00185D35">
      <w:pPr>
        <w:pStyle w:val="BodyText"/>
        <w:spacing w:before="8"/>
        <w:rPr>
          <w:rFonts w:ascii="Times New Roman"/>
          <w:sz w:val="23"/>
        </w:rPr>
      </w:pPr>
    </w:p>
    <w:p w14:paraId="4F69920B" w14:textId="77777777" w:rsidR="00185D35" w:rsidRDefault="00185D35" w:rsidP="00185D35">
      <w:pPr>
        <w:pStyle w:val="Heading1"/>
        <w:spacing w:before="92"/>
        <w:ind w:left="2680"/>
      </w:pPr>
      <w:r>
        <w:t>UNIVERSITY OF STIRLING</w:t>
      </w:r>
    </w:p>
    <w:p w14:paraId="20149800" w14:textId="77777777" w:rsidR="00185D35" w:rsidRDefault="00185D35" w:rsidP="00185D35">
      <w:pPr>
        <w:pStyle w:val="BodyText"/>
        <w:rPr>
          <w:b/>
          <w:sz w:val="30"/>
        </w:rPr>
      </w:pPr>
    </w:p>
    <w:p w14:paraId="14FC531B" w14:textId="79C6FF20" w:rsidR="00185D35" w:rsidRDefault="00185D35" w:rsidP="00185D35">
      <w:pPr>
        <w:spacing w:before="254"/>
        <w:ind w:left="2683" w:right="2681"/>
        <w:jc w:val="center"/>
        <w:rPr>
          <w:b/>
          <w:sz w:val="28"/>
        </w:rPr>
      </w:pPr>
      <w:r>
        <w:rPr>
          <w:b/>
          <w:sz w:val="28"/>
        </w:rPr>
        <w:t>RISK MANAGEMENT POLICY AND GUIDANCE</w:t>
      </w:r>
    </w:p>
    <w:p w14:paraId="2F0CF126" w14:textId="77777777" w:rsidR="00185D35" w:rsidRDefault="00185D35" w:rsidP="00185D35">
      <w:pPr>
        <w:pStyle w:val="BodyText"/>
        <w:spacing w:before="1"/>
        <w:rPr>
          <w:b/>
          <w:sz w:val="28"/>
        </w:rPr>
      </w:pPr>
    </w:p>
    <w:p w14:paraId="1E8C1D71" w14:textId="77777777" w:rsidR="00185D35" w:rsidRDefault="00185D35" w:rsidP="00185D35">
      <w:pPr>
        <w:spacing w:before="1"/>
        <w:ind w:left="2682" w:right="2681"/>
        <w:rPr>
          <w:b/>
          <w:sz w:val="28"/>
        </w:rPr>
      </w:pPr>
    </w:p>
    <w:p w14:paraId="00523B57" w14:textId="77777777" w:rsidR="00185D35" w:rsidRDefault="00185D35" w:rsidP="00185D35">
      <w:pPr>
        <w:pStyle w:val="BodyText"/>
        <w:rPr>
          <w:b/>
          <w:sz w:val="20"/>
        </w:rPr>
      </w:pPr>
    </w:p>
    <w:p w14:paraId="6DBB306D" w14:textId="77777777" w:rsidR="00185D35" w:rsidRDefault="00185D35" w:rsidP="00185D35">
      <w:pPr>
        <w:pStyle w:val="BodyText"/>
        <w:rPr>
          <w:b/>
          <w:sz w:val="20"/>
        </w:rPr>
      </w:pPr>
    </w:p>
    <w:p w14:paraId="413DABCD" w14:textId="77777777" w:rsidR="00185D35" w:rsidRDefault="00185D35" w:rsidP="00185D35">
      <w:pPr>
        <w:pStyle w:val="BodyText"/>
        <w:rPr>
          <w:b/>
          <w:sz w:val="20"/>
        </w:rPr>
      </w:pPr>
    </w:p>
    <w:p w14:paraId="75F4B667" w14:textId="77777777" w:rsidR="00185D35" w:rsidRDefault="00185D35" w:rsidP="00185D35">
      <w:pPr>
        <w:pStyle w:val="BodyText"/>
        <w:rPr>
          <w:b/>
          <w:sz w:val="20"/>
        </w:rPr>
      </w:pPr>
    </w:p>
    <w:p w14:paraId="480692F1" w14:textId="77777777" w:rsidR="00185D35" w:rsidRDefault="00185D35" w:rsidP="00185D35">
      <w:pPr>
        <w:pStyle w:val="BodyText"/>
        <w:rPr>
          <w:b/>
          <w:sz w:val="20"/>
        </w:rPr>
      </w:pPr>
    </w:p>
    <w:p w14:paraId="3F3FF567" w14:textId="77777777" w:rsidR="00185D35" w:rsidRDefault="00185D35" w:rsidP="00185D35">
      <w:pPr>
        <w:pStyle w:val="BodyText"/>
        <w:rPr>
          <w:b/>
          <w:sz w:val="20"/>
        </w:rPr>
      </w:pPr>
    </w:p>
    <w:p w14:paraId="13B63FB2" w14:textId="77777777" w:rsidR="00185D35" w:rsidRDefault="00185D35" w:rsidP="00185D35">
      <w:pPr>
        <w:pStyle w:val="BodyText"/>
        <w:rPr>
          <w:b/>
          <w:sz w:val="20"/>
        </w:rPr>
      </w:pPr>
    </w:p>
    <w:p w14:paraId="51B649E2" w14:textId="77777777" w:rsidR="00185D35" w:rsidRDefault="00185D35" w:rsidP="00185D35">
      <w:pPr>
        <w:pStyle w:val="BodyText"/>
        <w:rPr>
          <w:b/>
          <w:sz w:val="20"/>
        </w:rPr>
      </w:pPr>
    </w:p>
    <w:p w14:paraId="593D421C" w14:textId="77777777" w:rsidR="00185D35" w:rsidRDefault="00185D35" w:rsidP="00185D35">
      <w:pPr>
        <w:pStyle w:val="BodyText"/>
        <w:rPr>
          <w:b/>
          <w:sz w:val="20"/>
        </w:rPr>
      </w:pPr>
    </w:p>
    <w:p w14:paraId="1E1E124D" w14:textId="77777777" w:rsidR="00185D35" w:rsidRDefault="00185D35" w:rsidP="00185D35">
      <w:pPr>
        <w:pStyle w:val="BodyText"/>
        <w:rPr>
          <w:b/>
          <w:sz w:val="20"/>
        </w:rPr>
      </w:pPr>
    </w:p>
    <w:p w14:paraId="02B0DD8E" w14:textId="77777777" w:rsidR="00185D35" w:rsidRDefault="00185D35" w:rsidP="00185D35">
      <w:pPr>
        <w:pStyle w:val="BodyText"/>
        <w:rPr>
          <w:b/>
          <w:sz w:val="20"/>
        </w:rPr>
      </w:pPr>
    </w:p>
    <w:p w14:paraId="5630524C" w14:textId="77777777" w:rsidR="00185D35" w:rsidRDefault="00185D35" w:rsidP="00185D35">
      <w:pPr>
        <w:pStyle w:val="BodyText"/>
        <w:rPr>
          <w:b/>
          <w:sz w:val="20"/>
        </w:rPr>
      </w:pPr>
    </w:p>
    <w:p w14:paraId="16D212EB" w14:textId="77777777" w:rsidR="00185D35" w:rsidRDefault="00185D35" w:rsidP="00185D35">
      <w:pPr>
        <w:pStyle w:val="BodyText"/>
        <w:rPr>
          <w:b/>
          <w:sz w:val="20"/>
        </w:rPr>
      </w:pPr>
    </w:p>
    <w:p w14:paraId="142C7BAB" w14:textId="77777777" w:rsidR="00185D35" w:rsidRDefault="00185D35" w:rsidP="00185D35">
      <w:pPr>
        <w:pStyle w:val="BodyText"/>
        <w:rPr>
          <w:b/>
          <w:sz w:val="20"/>
        </w:rPr>
      </w:pPr>
    </w:p>
    <w:p w14:paraId="09910EBD" w14:textId="77777777" w:rsidR="00185D35" w:rsidRDefault="00185D35" w:rsidP="00185D35">
      <w:pPr>
        <w:pStyle w:val="BodyText"/>
        <w:rPr>
          <w:b/>
          <w:sz w:val="20"/>
        </w:rPr>
      </w:pPr>
    </w:p>
    <w:p w14:paraId="1CEF244E" w14:textId="77777777" w:rsidR="00185D35" w:rsidRDefault="00185D35" w:rsidP="00185D35">
      <w:pPr>
        <w:pStyle w:val="BodyText"/>
        <w:rPr>
          <w:b/>
          <w:sz w:val="20"/>
        </w:rPr>
      </w:pPr>
    </w:p>
    <w:p w14:paraId="1D508E4B" w14:textId="77777777" w:rsidR="00185D35" w:rsidRDefault="00185D35" w:rsidP="00185D35">
      <w:pPr>
        <w:pStyle w:val="BodyText"/>
        <w:rPr>
          <w:b/>
          <w:sz w:val="20"/>
        </w:rPr>
      </w:pPr>
    </w:p>
    <w:p w14:paraId="366F9170" w14:textId="77777777" w:rsidR="00185D35" w:rsidRDefault="00185D35" w:rsidP="00185D35">
      <w:pPr>
        <w:pStyle w:val="BodyText"/>
        <w:rPr>
          <w:b/>
          <w:sz w:val="20"/>
        </w:rPr>
      </w:pPr>
    </w:p>
    <w:p w14:paraId="712B4662" w14:textId="77777777" w:rsidR="00185D35" w:rsidRDefault="00185D35" w:rsidP="00185D35">
      <w:pPr>
        <w:pStyle w:val="BodyText"/>
        <w:rPr>
          <w:b/>
          <w:sz w:val="20"/>
        </w:rPr>
      </w:pPr>
    </w:p>
    <w:p w14:paraId="24380F7F" w14:textId="77777777" w:rsidR="00185D35" w:rsidRDefault="00185D35" w:rsidP="00185D35">
      <w:pPr>
        <w:pStyle w:val="BodyText"/>
        <w:rPr>
          <w:b/>
          <w:sz w:val="20"/>
        </w:rPr>
      </w:pPr>
    </w:p>
    <w:p w14:paraId="15B73236" w14:textId="77777777" w:rsidR="00185D35" w:rsidRDefault="00185D35" w:rsidP="00185D35">
      <w:pPr>
        <w:pStyle w:val="BodyText"/>
        <w:rPr>
          <w:b/>
          <w:sz w:val="20"/>
        </w:rPr>
      </w:pPr>
    </w:p>
    <w:p w14:paraId="300E0880" w14:textId="77777777" w:rsidR="00185D35" w:rsidRDefault="00185D35" w:rsidP="00185D35">
      <w:pPr>
        <w:pStyle w:val="BodyText"/>
        <w:rPr>
          <w:b/>
          <w:sz w:val="20"/>
        </w:rPr>
      </w:pPr>
    </w:p>
    <w:p w14:paraId="2568E9E6" w14:textId="77777777" w:rsidR="00185D35" w:rsidRDefault="00185D35" w:rsidP="00185D35">
      <w:pPr>
        <w:pStyle w:val="BodyText"/>
        <w:rPr>
          <w:b/>
          <w:sz w:val="20"/>
        </w:rPr>
      </w:pPr>
    </w:p>
    <w:p w14:paraId="44E1D666" w14:textId="77777777" w:rsidR="00185D35" w:rsidRDefault="00185D35" w:rsidP="00185D35">
      <w:pPr>
        <w:pStyle w:val="BodyText"/>
        <w:rPr>
          <w:b/>
          <w:sz w:val="20"/>
        </w:rPr>
      </w:pPr>
    </w:p>
    <w:p w14:paraId="26EAE996" w14:textId="77777777" w:rsidR="00185D35" w:rsidRDefault="00185D35" w:rsidP="00185D35">
      <w:pPr>
        <w:pStyle w:val="BodyText"/>
        <w:rPr>
          <w:b/>
          <w:sz w:val="20"/>
        </w:rPr>
      </w:pPr>
    </w:p>
    <w:p w14:paraId="1D0FF3DD" w14:textId="77777777" w:rsidR="00185D35" w:rsidRDefault="00185D35" w:rsidP="00185D35">
      <w:pPr>
        <w:pStyle w:val="BodyText"/>
        <w:rPr>
          <w:b/>
          <w:sz w:val="20"/>
        </w:rPr>
      </w:pPr>
    </w:p>
    <w:p w14:paraId="080B2CFF" w14:textId="77777777" w:rsidR="00185D35" w:rsidRDefault="00185D35" w:rsidP="00185D35">
      <w:pPr>
        <w:pStyle w:val="BodyText"/>
        <w:rPr>
          <w:b/>
          <w:sz w:val="20"/>
        </w:rPr>
      </w:pPr>
    </w:p>
    <w:p w14:paraId="2FC9DF98" w14:textId="77777777" w:rsidR="00185D35" w:rsidRDefault="00185D35" w:rsidP="00185D35">
      <w:pPr>
        <w:pStyle w:val="BodyText"/>
        <w:rPr>
          <w:b/>
          <w:sz w:val="20"/>
        </w:rPr>
      </w:pPr>
    </w:p>
    <w:p w14:paraId="6E93A375" w14:textId="77777777" w:rsidR="00185D35" w:rsidRDefault="00185D35" w:rsidP="00185D35">
      <w:pPr>
        <w:pStyle w:val="BodyText"/>
        <w:rPr>
          <w:b/>
          <w:sz w:val="20"/>
        </w:rPr>
      </w:pPr>
    </w:p>
    <w:p w14:paraId="30F2A628" w14:textId="77777777" w:rsidR="00185D35" w:rsidRDefault="00185D35" w:rsidP="00185D35">
      <w:pPr>
        <w:pStyle w:val="BodyText"/>
        <w:rPr>
          <w:b/>
          <w:sz w:val="20"/>
        </w:rPr>
      </w:pPr>
    </w:p>
    <w:p w14:paraId="67DD20AC" w14:textId="77777777" w:rsidR="00185D35" w:rsidRDefault="00185D35" w:rsidP="00185D35">
      <w:pPr>
        <w:pStyle w:val="BodyText"/>
        <w:rPr>
          <w:b/>
          <w:sz w:val="20"/>
        </w:rPr>
      </w:pPr>
    </w:p>
    <w:p w14:paraId="293B6604" w14:textId="77777777" w:rsidR="00185D35" w:rsidRDefault="00185D35" w:rsidP="00185D35">
      <w:pPr>
        <w:pStyle w:val="BodyText"/>
        <w:rPr>
          <w:b/>
          <w:sz w:val="20"/>
        </w:rPr>
      </w:pPr>
    </w:p>
    <w:p w14:paraId="66C560C5" w14:textId="77777777" w:rsidR="00185D35" w:rsidRDefault="00185D35" w:rsidP="00185D35">
      <w:pPr>
        <w:pStyle w:val="BodyText"/>
        <w:rPr>
          <w:b/>
          <w:sz w:val="20"/>
        </w:rPr>
      </w:pPr>
    </w:p>
    <w:p w14:paraId="3D1E640C" w14:textId="77777777" w:rsidR="00185D35" w:rsidRDefault="00185D35" w:rsidP="00185D35">
      <w:pPr>
        <w:pStyle w:val="BodyText"/>
        <w:rPr>
          <w:b/>
          <w:sz w:val="20"/>
        </w:rPr>
      </w:pPr>
    </w:p>
    <w:p w14:paraId="51F0EB36" w14:textId="77777777" w:rsidR="00185D35" w:rsidRDefault="00185D35" w:rsidP="00185D35">
      <w:pPr>
        <w:pStyle w:val="BodyText"/>
        <w:rPr>
          <w:b/>
          <w:sz w:val="20"/>
        </w:rPr>
      </w:pPr>
    </w:p>
    <w:p w14:paraId="227C6211" w14:textId="77777777" w:rsidR="00185D35" w:rsidRDefault="00185D35" w:rsidP="00185D35">
      <w:pPr>
        <w:pStyle w:val="BodyText"/>
        <w:rPr>
          <w:b/>
          <w:sz w:val="20"/>
        </w:rPr>
      </w:pPr>
    </w:p>
    <w:p w14:paraId="18CAEBC9" w14:textId="77777777" w:rsidR="00185D35" w:rsidRDefault="00185D35" w:rsidP="00185D35">
      <w:pPr>
        <w:pStyle w:val="BodyText"/>
        <w:rPr>
          <w:b/>
          <w:sz w:val="20"/>
        </w:rPr>
      </w:pPr>
    </w:p>
    <w:p w14:paraId="3BC44E0B" w14:textId="77777777" w:rsidR="00185D35" w:rsidRDefault="00185D35" w:rsidP="00185D35">
      <w:pPr>
        <w:pStyle w:val="BodyText"/>
        <w:rPr>
          <w:b/>
          <w:sz w:val="20"/>
        </w:rPr>
      </w:pPr>
    </w:p>
    <w:p w14:paraId="74F2D588" w14:textId="77777777" w:rsidR="00185D35" w:rsidRDefault="00185D35" w:rsidP="00185D35">
      <w:pPr>
        <w:pStyle w:val="BodyText"/>
        <w:spacing w:before="11"/>
        <w:rPr>
          <w:b/>
        </w:rPr>
      </w:pPr>
    </w:p>
    <w:p w14:paraId="6FEDC87B" w14:textId="77777777" w:rsidR="00185D35" w:rsidRDefault="00185D35" w:rsidP="00185D35">
      <w:pPr>
        <w:jc w:val="right"/>
        <w:rPr>
          <w:sz w:val="20"/>
        </w:rPr>
        <w:sectPr w:rsidR="00185D35" w:rsidSect="004B31AB">
          <w:headerReference w:type="default" r:id="rId9"/>
          <w:footerReference w:type="even" r:id="rId10"/>
          <w:footerReference w:type="default" r:id="rId11"/>
          <w:pgSz w:w="11910" w:h="16840"/>
          <w:pgMar w:top="1580" w:right="1300" w:bottom="280" w:left="1300" w:header="720" w:footer="720" w:gutter="0"/>
          <w:cols w:space="720"/>
          <w:titlePg/>
        </w:sectPr>
      </w:pPr>
    </w:p>
    <w:p w14:paraId="103117B7" w14:textId="77777777" w:rsidR="00185D35" w:rsidRPr="00185D35" w:rsidRDefault="00185D35" w:rsidP="00185D35">
      <w:pPr>
        <w:pStyle w:val="Heading1"/>
        <w:spacing w:before="78"/>
        <w:ind w:right="0"/>
        <w:jc w:val="left"/>
        <w:rPr>
          <w:rFonts w:ascii="Calibri" w:hAnsi="Calibri"/>
        </w:rPr>
      </w:pPr>
      <w:r w:rsidRPr="00185D35">
        <w:rPr>
          <w:rFonts w:ascii="Calibri" w:hAnsi="Calibri"/>
        </w:rPr>
        <w:lastRenderedPageBreak/>
        <w:t>Contents</w:t>
      </w:r>
    </w:p>
    <w:p w14:paraId="466772DD" w14:textId="77777777" w:rsidR="00185D35" w:rsidRPr="00185D35" w:rsidRDefault="00185D35" w:rsidP="00185D35">
      <w:pPr>
        <w:pStyle w:val="BodyText"/>
        <w:rPr>
          <w:rFonts w:ascii="Calibri" w:hAnsi="Calibri"/>
          <w:b/>
          <w:sz w:val="30"/>
        </w:rPr>
      </w:pPr>
    </w:p>
    <w:p w14:paraId="09AE68A6" w14:textId="77777777" w:rsidR="00185D35" w:rsidRPr="00185D35" w:rsidRDefault="00185D35" w:rsidP="00185D35">
      <w:pPr>
        <w:pStyle w:val="BodyText"/>
        <w:spacing w:before="11"/>
        <w:rPr>
          <w:rFonts w:ascii="Calibri" w:hAnsi="Calibri"/>
          <w:b/>
          <w:sz w:val="37"/>
        </w:rPr>
      </w:pPr>
    </w:p>
    <w:p w14:paraId="02F14C0D" w14:textId="77777777" w:rsidR="00185D35" w:rsidRPr="00185D35" w:rsidRDefault="00185D35" w:rsidP="00185D35">
      <w:pPr>
        <w:pStyle w:val="Heading2"/>
        <w:numPr>
          <w:ilvl w:val="0"/>
          <w:numId w:val="25"/>
        </w:numPr>
        <w:tabs>
          <w:tab w:val="left" w:pos="839"/>
        </w:tabs>
        <w:ind w:hanging="361"/>
        <w:rPr>
          <w:rFonts w:ascii="Calibri" w:hAnsi="Calibri"/>
        </w:rPr>
      </w:pPr>
      <w:r w:rsidRPr="00185D35">
        <w:rPr>
          <w:rFonts w:ascii="Calibri" w:hAnsi="Calibri"/>
        </w:rPr>
        <w:t>Introduction</w:t>
      </w:r>
    </w:p>
    <w:p w14:paraId="7DFF347C" w14:textId="77777777" w:rsidR="00185D35" w:rsidRPr="00185D35" w:rsidRDefault="00185D35" w:rsidP="00185D35">
      <w:pPr>
        <w:pStyle w:val="BodyText"/>
        <w:rPr>
          <w:rFonts w:ascii="Calibri" w:hAnsi="Calibri"/>
          <w:sz w:val="24"/>
        </w:rPr>
      </w:pPr>
    </w:p>
    <w:p w14:paraId="428D67DE"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Purpose</w:t>
      </w:r>
    </w:p>
    <w:p w14:paraId="45D692EE" w14:textId="77777777" w:rsidR="00185D35" w:rsidRPr="00185D35" w:rsidRDefault="00185D35" w:rsidP="00185D35">
      <w:pPr>
        <w:pStyle w:val="BodyText"/>
        <w:rPr>
          <w:rFonts w:ascii="Calibri" w:hAnsi="Calibri"/>
          <w:sz w:val="24"/>
        </w:rPr>
      </w:pPr>
    </w:p>
    <w:p w14:paraId="53CF81C9"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What is</w:t>
      </w:r>
      <w:r w:rsidRPr="00185D35">
        <w:rPr>
          <w:rFonts w:ascii="Calibri" w:hAnsi="Calibri"/>
          <w:spacing w:val="-2"/>
        </w:rPr>
        <w:t xml:space="preserve"> </w:t>
      </w:r>
      <w:r w:rsidRPr="00185D35">
        <w:rPr>
          <w:rFonts w:ascii="Calibri" w:hAnsi="Calibri"/>
        </w:rPr>
        <w:t>risk?</w:t>
      </w:r>
    </w:p>
    <w:p w14:paraId="5AB2E73E" w14:textId="77777777" w:rsidR="00185D35" w:rsidRPr="00185D35" w:rsidRDefault="00185D35" w:rsidP="00185D35">
      <w:pPr>
        <w:pStyle w:val="BodyText"/>
        <w:rPr>
          <w:rFonts w:ascii="Calibri" w:hAnsi="Calibri"/>
          <w:sz w:val="24"/>
        </w:rPr>
      </w:pPr>
    </w:p>
    <w:p w14:paraId="1C5E0C98"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What is risk</w:t>
      </w:r>
      <w:r w:rsidRPr="00185D35">
        <w:rPr>
          <w:rFonts w:ascii="Calibri" w:hAnsi="Calibri"/>
          <w:spacing w:val="-3"/>
        </w:rPr>
        <w:t xml:space="preserve"> </w:t>
      </w:r>
      <w:r w:rsidRPr="00185D35">
        <w:rPr>
          <w:rFonts w:ascii="Calibri" w:hAnsi="Calibri"/>
        </w:rPr>
        <w:t>management?</w:t>
      </w:r>
    </w:p>
    <w:p w14:paraId="5F15D93E" w14:textId="77777777" w:rsidR="00185D35" w:rsidRPr="00185D35" w:rsidRDefault="00185D35" w:rsidP="00185D35">
      <w:pPr>
        <w:pStyle w:val="BodyText"/>
        <w:rPr>
          <w:rFonts w:ascii="Calibri" w:hAnsi="Calibri"/>
          <w:sz w:val="24"/>
        </w:rPr>
      </w:pPr>
    </w:p>
    <w:p w14:paraId="643BF7F0"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The University’s</w:t>
      </w:r>
      <w:r w:rsidRPr="00185D35">
        <w:rPr>
          <w:rFonts w:ascii="Calibri" w:hAnsi="Calibri"/>
          <w:spacing w:val="-2"/>
        </w:rPr>
        <w:t xml:space="preserve"> </w:t>
      </w:r>
      <w:r w:rsidRPr="00185D35">
        <w:rPr>
          <w:rFonts w:ascii="Calibri" w:hAnsi="Calibri"/>
        </w:rPr>
        <w:t>approach</w:t>
      </w:r>
    </w:p>
    <w:p w14:paraId="6BA398E9" w14:textId="77777777" w:rsidR="00185D35" w:rsidRPr="00185D35" w:rsidRDefault="00185D35" w:rsidP="00185D35">
      <w:pPr>
        <w:pStyle w:val="BodyText"/>
        <w:rPr>
          <w:rFonts w:ascii="Calibri" w:hAnsi="Calibri"/>
          <w:sz w:val="24"/>
        </w:rPr>
      </w:pPr>
    </w:p>
    <w:p w14:paraId="7E2E23F8"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Responsibilities</w:t>
      </w:r>
    </w:p>
    <w:p w14:paraId="4B26CEB7" w14:textId="77777777" w:rsidR="00185D35" w:rsidRPr="00185D35" w:rsidRDefault="00185D35" w:rsidP="00185D35">
      <w:pPr>
        <w:pStyle w:val="BodyText"/>
        <w:spacing w:before="1"/>
        <w:rPr>
          <w:rFonts w:ascii="Calibri" w:hAnsi="Calibri"/>
          <w:sz w:val="24"/>
        </w:rPr>
      </w:pPr>
    </w:p>
    <w:p w14:paraId="2AD5126E"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Defining the risk</w:t>
      </w:r>
      <w:r w:rsidRPr="00185D35">
        <w:rPr>
          <w:rFonts w:ascii="Calibri" w:hAnsi="Calibri"/>
          <w:spacing w:val="-5"/>
        </w:rPr>
        <w:t xml:space="preserve"> </w:t>
      </w:r>
      <w:r w:rsidRPr="00185D35">
        <w:rPr>
          <w:rFonts w:ascii="Calibri" w:hAnsi="Calibri"/>
        </w:rPr>
        <w:t>appetite</w:t>
      </w:r>
    </w:p>
    <w:p w14:paraId="4B30D888" w14:textId="77777777" w:rsidR="00185D35" w:rsidRPr="00185D35" w:rsidRDefault="00185D35" w:rsidP="00185D35">
      <w:pPr>
        <w:pStyle w:val="BodyText"/>
        <w:rPr>
          <w:rFonts w:ascii="Calibri" w:hAnsi="Calibri"/>
          <w:sz w:val="24"/>
        </w:rPr>
      </w:pPr>
    </w:p>
    <w:p w14:paraId="2BEFB9B1"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Management of</w:t>
      </w:r>
      <w:r w:rsidRPr="00185D35">
        <w:rPr>
          <w:rFonts w:ascii="Calibri" w:hAnsi="Calibri"/>
          <w:spacing w:val="-1"/>
        </w:rPr>
        <w:t xml:space="preserve"> </w:t>
      </w:r>
      <w:r w:rsidRPr="00185D35">
        <w:rPr>
          <w:rFonts w:ascii="Calibri" w:hAnsi="Calibri"/>
        </w:rPr>
        <w:t>risk</w:t>
      </w:r>
    </w:p>
    <w:p w14:paraId="26B37E70" w14:textId="77777777" w:rsidR="00185D35" w:rsidRPr="00185D35" w:rsidRDefault="00185D35" w:rsidP="00185D35">
      <w:pPr>
        <w:pStyle w:val="BodyText"/>
        <w:rPr>
          <w:rFonts w:ascii="Calibri" w:hAnsi="Calibri"/>
          <w:sz w:val="24"/>
        </w:rPr>
      </w:pPr>
    </w:p>
    <w:p w14:paraId="4F065EEF" w14:textId="77777777" w:rsidR="00185D35" w:rsidRPr="00185D35" w:rsidRDefault="00185D35" w:rsidP="00185D35">
      <w:pPr>
        <w:pStyle w:val="ListParagraph"/>
        <w:widowControl w:val="0"/>
        <w:numPr>
          <w:ilvl w:val="0"/>
          <w:numId w:val="25"/>
        </w:numPr>
        <w:tabs>
          <w:tab w:val="left" w:pos="839"/>
        </w:tabs>
        <w:autoSpaceDE w:val="0"/>
        <w:autoSpaceDN w:val="0"/>
        <w:ind w:hanging="361"/>
        <w:contextualSpacing w:val="0"/>
        <w:rPr>
          <w:rFonts w:ascii="Calibri" w:hAnsi="Calibri"/>
        </w:rPr>
      </w:pPr>
      <w:r w:rsidRPr="00185D35">
        <w:rPr>
          <w:rFonts w:ascii="Calibri" w:hAnsi="Calibri"/>
        </w:rPr>
        <w:t>Annual review of</w:t>
      </w:r>
      <w:r w:rsidRPr="00185D35">
        <w:rPr>
          <w:rFonts w:ascii="Calibri" w:hAnsi="Calibri"/>
          <w:spacing w:val="-2"/>
        </w:rPr>
        <w:t xml:space="preserve"> </w:t>
      </w:r>
      <w:r w:rsidRPr="00185D35">
        <w:rPr>
          <w:rFonts w:ascii="Calibri" w:hAnsi="Calibri"/>
        </w:rPr>
        <w:t>effectiveness</w:t>
      </w:r>
    </w:p>
    <w:p w14:paraId="4274E545" w14:textId="77777777" w:rsidR="00185D35" w:rsidRPr="00185D35" w:rsidRDefault="00185D35" w:rsidP="00185D35">
      <w:pPr>
        <w:rPr>
          <w:rFonts w:ascii="Calibri" w:hAnsi="Calibri"/>
        </w:rPr>
        <w:sectPr w:rsidR="00185D35" w:rsidRPr="00185D35">
          <w:footerReference w:type="default" r:id="rId12"/>
          <w:pgSz w:w="11910" w:h="16840"/>
          <w:pgMar w:top="1340" w:right="1300" w:bottom="940" w:left="1300" w:header="0" w:footer="756" w:gutter="0"/>
          <w:pgNumType w:start="2"/>
          <w:cols w:space="720"/>
        </w:sectPr>
      </w:pPr>
    </w:p>
    <w:p w14:paraId="198C57DE" w14:textId="77777777" w:rsidR="00185D35" w:rsidRPr="00185D35" w:rsidRDefault="00185D35" w:rsidP="00185D35">
      <w:pPr>
        <w:pStyle w:val="Heading3"/>
        <w:numPr>
          <w:ilvl w:val="0"/>
          <w:numId w:val="24"/>
        </w:numPr>
        <w:tabs>
          <w:tab w:val="left" w:pos="839"/>
        </w:tabs>
        <w:spacing w:before="77"/>
        <w:ind w:left="567" w:hanging="425"/>
        <w:rPr>
          <w:rFonts w:ascii="Calibri" w:hAnsi="Calibri"/>
        </w:rPr>
      </w:pPr>
      <w:r w:rsidRPr="00185D35">
        <w:rPr>
          <w:rFonts w:ascii="Calibri" w:hAnsi="Calibri"/>
        </w:rPr>
        <w:lastRenderedPageBreak/>
        <w:t>Introduction</w:t>
      </w:r>
    </w:p>
    <w:p w14:paraId="3813A449" w14:textId="77777777" w:rsidR="00185D35" w:rsidRPr="00185D35" w:rsidRDefault="00185D35" w:rsidP="00185D35">
      <w:pPr>
        <w:pStyle w:val="BodyText"/>
        <w:spacing w:before="1"/>
        <w:ind w:left="567" w:right="112" w:hanging="22"/>
        <w:jc w:val="both"/>
        <w:rPr>
          <w:rFonts w:ascii="Calibri" w:hAnsi="Calibri"/>
        </w:rPr>
      </w:pPr>
      <w:r w:rsidRPr="00185D35">
        <w:rPr>
          <w:rFonts w:ascii="Calibri" w:hAnsi="Calibri"/>
        </w:rPr>
        <w:t>The University faces numerous risks that could affect any aspect of its academic, administrative or commercial business activities. Sound risk management is therefore required to ensure the University is able to achieve its operational aims and strategic objectives.</w:t>
      </w:r>
    </w:p>
    <w:p w14:paraId="649246AE" w14:textId="77777777" w:rsidR="00185D35" w:rsidRPr="00185D35" w:rsidRDefault="00185D35" w:rsidP="00185D35">
      <w:pPr>
        <w:pStyle w:val="BodyText"/>
        <w:ind w:left="567"/>
        <w:rPr>
          <w:rFonts w:ascii="Calibri" w:hAnsi="Calibri"/>
        </w:rPr>
      </w:pPr>
    </w:p>
    <w:p w14:paraId="5AAE69F6" w14:textId="77777777" w:rsidR="00185D35" w:rsidRPr="00185D35" w:rsidRDefault="00185D35" w:rsidP="00185D35">
      <w:pPr>
        <w:ind w:left="567" w:right="112" w:hanging="22"/>
        <w:jc w:val="both"/>
        <w:rPr>
          <w:rFonts w:ascii="Calibri" w:hAnsi="Calibri"/>
        </w:rPr>
      </w:pPr>
      <w:r w:rsidRPr="00185D35">
        <w:rPr>
          <w:rFonts w:ascii="Calibri" w:hAnsi="Calibri"/>
          <w:sz w:val="23"/>
        </w:rPr>
        <w:t xml:space="preserve">The University considers risk management to be fundamental to good management practice and a significant aspect of corporate governance. </w:t>
      </w:r>
      <w:r w:rsidRPr="00185D35">
        <w:rPr>
          <w:rFonts w:ascii="Calibri" w:hAnsi="Calibri"/>
        </w:rPr>
        <w:t>Risks include not only threats facing the University, but also a failure to seize opportunities. An assessment of risk must therefore be conducted to identify, analyse and report to the most appropriate management level within the University.</w:t>
      </w:r>
    </w:p>
    <w:p w14:paraId="7023D9A8" w14:textId="77777777" w:rsidR="00185D35" w:rsidRPr="00185D35" w:rsidRDefault="00185D35" w:rsidP="00185D35">
      <w:pPr>
        <w:pStyle w:val="BodyText"/>
        <w:ind w:left="567"/>
        <w:rPr>
          <w:rFonts w:ascii="Calibri" w:hAnsi="Calibri"/>
        </w:rPr>
      </w:pPr>
    </w:p>
    <w:p w14:paraId="2A61F353" w14:textId="77777777" w:rsidR="00185D35" w:rsidRPr="00185D35" w:rsidRDefault="00185D35" w:rsidP="00185D35">
      <w:pPr>
        <w:pStyle w:val="BodyText"/>
        <w:ind w:left="567" w:right="112" w:hanging="22"/>
        <w:jc w:val="both"/>
        <w:rPr>
          <w:rFonts w:ascii="Calibri" w:hAnsi="Calibri"/>
        </w:rPr>
      </w:pPr>
      <w:r w:rsidRPr="00185D35">
        <w:rPr>
          <w:rFonts w:ascii="Calibri" w:hAnsi="Calibri"/>
        </w:rPr>
        <w:t>It should be noted that risk management is the responsibility of everyone at the University, not just a small number of named individuals. The University maintains a register of strategic risks, and all academic schools and service areas maintain operational risk registers that are integrated into the planning and budgeting</w:t>
      </w:r>
      <w:r w:rsidRPr="00185D35">
        <w:rPr>
          <w:rFonts w:ascii="Calibri" w:hAnsi="Calibri"/>
          <w:spacing w:val="-7"/>
        </w:rPr>
        <w:t xml:space="preserve"> </w:t>
      </w:r>
      <w:r w:rsidRPr="00185D35">
        <w:rPr>
          <w:rFonts w:ascii="Calibri" w:hAnsi="Calibri"/>
        </w:rPr>
        <w:t>process.</w:t>
      </w:r>
    </w:p>
    <w:p w14:paraId="0AC08335" w14:textId="77777777" w:rsidR="00185D35" w:rsidRPr="00185D35" w:rsidRDefault="00185D35" w:rsidP="00185D35">
      <w:pPr>
        <w:pStyle w:val="BodyText"/>
        <w:spacing w:before="1"/>
        <w:rPr>
          <w:rFonts w:ascii="Calibri" w:hAnsi="Calibri"/>
        </w:rPr>
      </w:pPr>
    </w:p>
    <w:p w14:paraId="167649BE" w14:textId="77777777" w:rsidR="00185D35" w:rsidRPr="00185D35" w:rsidRDefault="00185D35" w:rsidP="00185D35">
      <w:pPr>
        <w:pStyle w:val="Heading3"/>
        <w:numPr>
          <w:ilvl w:val="0"/>
          <w:numId w:val="24"/>
        </w:numPr>
        <w:tabs>
          <w:tab w:val="left" w:pos="839"/>
        </w:tabs>
        <w:ind w:left="567" w:hanging="425"/>
        <w:rPr>
          <w:rFonts w:ascii="Calibri" w:hAnsi="Calibri"/>
        </w:rPr>
      </w:pPr>
      <w:r w:rsidRPr="00185D35">
        <w:rPr>
          <w:rFonts w:ascii="Calibri" w:hAnsi="Calibri"/>
        </w:rPr>
        <w:t>Purpose</w:t>
      </w:r>
    </w:p>
    <w:p w14:paraId="52F7CE6C" w14:textId="77777777" w:rsidR="00185D35" w:rsidRPr="00185D35" w:rsidRDefault="00185D35" w:rsidP="00185D35">
      <w:pPr>
        <w:pStyle w:val="BodyText"/>
        <w:spacing w:before="1"/>
        <w:ind w:left="567" w:right="111" w:hanging="22"/>
        <w:jc w:val="both"/>
        <w:rPr>
          <w:rFonts w:ascii="Calibri" w:hAnsi="Calibri"/>
        </w:rPr>
      </w:pPr>
      <w:r w:rsidRPr="00185D35">
        <w:rPr>
          <w:rFonts w:ascii="Calibri" w:hAnsi="Calibri"/>
        </w:rPr>
        <w:t xml:space="preserve">This risk management policy identifies the underlying approach to risk management across the University. It defines the roles and responsibilities of senior managers and governing bodies together with the annual mechanism for reviewing risk management processes. </w:t>
      </w:r>
    </w:p>
    <w:p w14:paraId="07B6DB41" w14:textId="77777777" w:rsidR="00185D35" w:rsidRPr="00185D35" w:rsidRDefault="00185D35" w:rsidP="00185D35">
      <w:pPr>
        <w:pStyle w:val="BodyText"/>
        <w:spacing w:before="10"/>
        <w:ind w:left="567"/>
        <w:rPr>
          <w:rFonts w:ascii="Calibri" w:hAnsi="Calibri"/>
          <w:sz w:val="21"/>
        </w:rPr>
      </w:pPr>
    </w:p>
    <w:p w14:paraId="0D06142C" w14:textId="77777777" w:rsidR="00185D35" w:rsidRPr="00185D35" w:rsidRDefault="00185D35" w:rsidP="00185D35">
      <w:pPr>
        <w:pStyle w:val="BodyText"/>
        <w:spacing w:before="1"/>
        <w:ind w:left="567" w:right="113" w:hanging="22"/>
        <w:jc w:val="both"/>
        <w:rPr>
          <w:rFonts w:ascii="Calibri" w:hAnsi="Calibri"/>
        </w:rPr>
      </w:pPr>
      <w:r w:rsidRPr="00185D35">
        <w:rPr>
          <w:rFonts w:ascii="Calibri" w:hAnsi="Calibri"/>
        </w:rPr>
        <w:t>The purpose of this policy is a formal acknowledgement of the commitment made by the University to risk management. The University considers that taking well-managed risks is essential to the success of higher education, in the management of its core activities of research and teaching, as well as its supporting activities. The aim of the policy is not eliminate risk from the University’s activities, but rather to manage risk appropriately.</w:t>
      </w:r>
    </w:p>
    <w:p w14:paraId="3D40A15E" w14:textId="77777777" w:rsidR="00185D35" w:rsidRPr="00185D35" w:rsidRDefault="00185D35" w:rsidP="00185D35">
      <w:pPr>
        <w:pStyle w:val="BodyText"/>
        <w:spacing w:before="1"/>
        <w:ind w:left="567"/>
        <w:rPr>
          <w:rFonts w:ascii="Calibri" w:hAnsi="Calibri"/>
        </w:rPr>
      </w:pPr>
    </w:p>
    <w:p w14:paraId="737B74A1" w14:textId="77777777" w:rsidR="00185D35" w:rsidRPr="00185D35" w:rsidRDefault="00185D35" w:rsidP="00185D35">
      <w:pPr>
        <w:pStyle w:val="BodyText"/>
        <w:ind w:left="567" w:right="112" w:hanging="22"/>
        <w:jc w:val="both"/>
        <w:rPr>
          <w:rFonts w:ascii="Calibri" w:hAnsi="Calibri"/>
        </w:rPr>
      </w:pPr>
      <w:r w:rsidRPr="00185D35">
        <w:rPr>
          <w:rFonts w:ascii="Calibri" w:hAnsi="Calibri"/>
        </w:rPr>
        <w:t>This document is supported by the Risk Appetite Statement and guidance for all staff (Appendix 1).</w:t>
      </w:r>
    </w:p>
    <w:p w14:paraId="62362A64" w14:textId="77777777" w:rsidR="00185D35" w:rsidRPr="00185D35" w:rsidRDefault="00185D35" w:rsidP="00185D35">
      <w:pPr>
        <w:pStyle w:val="BodyText"/>
        <w:spacing w:before="9"/>
        <w:rPr>
          <w:rFonts w:ascii="Calibri" w:hAnsi="Calibri"/>
          <w:sz w:val="21"/>
        </w:rPr>
      </w:pPr>
    </w:p>
    <w:p w14:paraId="5305195D" w14:textId="77777777" w:rsidR="00185D35" w:rsidRPr="00185D35" w:rsidRDefault="00185D35" w:rsidP="00185D35">
      <w:pPr>
        <w:pStyle w:val="Heading3"/>
        <w:numPr>
          <w:ilvl w:val="0"/>
          <w:numId w:val="24"/>
        </w:numPr>
        <w:tabs>
          <w:tab w:val="left" w:pos="839"/>
        </w:tabs>
        <w:ind w:left="567" w:hanging="425"/>
        <w:rPr>
          <w:rFonts w:ascii="Calibri" w:hAnsi="Calibri"/>
        </w:rPr>
      </w:pPr>
      <w:r w:rsidRPr="00185D35">
        <w:rPr>
          <w:rFonts w:ascii="Calibri" w:hAnsi="Calibri"/>
        </w:rPr>
        <w:t>What is</w:t>
      </w:r>
      <w:r w:rsidRPr="00185D35">
        <w:rPr>
          <w:rFonts w:ascii="Calibri" w:hAnsi="Calibri"/>
          <w:spacing w:val="-3"/>
        </w:rPr>
        <w:t xml:space="preserve"> </w:t>
      </w:r>
      <w:r w:rsidRPr="00185D35">
        <w:rPr>
          <w:rFonts w:ascii="Calibri" w:hAnsi="Calibri"/>
        </w:rPr>
        <w:t>risk?</w:t>
      </w:r>
    </w:p>
    <w:p w14:paraId="05AAF93A" w14:textId="77777777" w:rsidR="00185D35" w:rsidRPr="00185D35" w:rsidRDefault="00185D35" w:rsidP="00185D35">
      <w:pPr>
        <w:pStyle w:val="BodyText"/>
        <w:spacing w:before="1"/>
        <w:ind w:left="567" w:right="120" w:hanging="22"/>
        <w:jc w:val="both"/>
        <w:rPr>
          <w:rFonts w:ascii="Calibri" w:hAnsi="Calibri"/>
        </w:rPr>
      </w:pPr>
      <w:r w:rsidRPr="00185D35">
        <w:rPr>
          <w:rFonts w:ascii="Calibri" w:hAnsi="Calibri"/>
        </w:rPr>
        <w:t>Risk is commonly defined as the possibility that an action, event or set of circumstances will adversely or beneficially affect an organisation’s ability to achieve its</w:t>
      </w:r>
      <w:r w:rsidRPr="00185D35">
        <w:rPr>
          <w:rFonts w:ascii="Calibri" w:hAnsi="Calibri"/>
          <w:spacing w:val="-16"/>
        </w:rPr>
        <w:t xml:space="preserve"> </w:t>
      </w:r>
      <w:r w:rsidRPr="00185D35">
        <w:rPr>
          <w:rFonts w:ascii="Calibri" w:hAnsi="Calibri"/>
        </w:rPr>
        <w:t>objectives.</w:t>
      </w:r>
    </w:p>
    <w:p w14:paraId="0B27E3E4" w14:textId="77777777" w:rsidR="00185D35" w:rsidRPr="00185D35" w:rsidRDefault="00185D35" w:rsidP="00185D35">
      <w:pPr>
        <w:pStyle w:val="BodyText"/>
        <w:spacing w:before="2"/>
        <w:ind w:left="567"/>
        <w:rPr>
          <w:rFonts w:ascii="Calibri" w:hAnsi="Calibri"/>
        </w:rPr>
      </w:pPr>
    </w:p>
    <w:p w14:paraId="145E4FB0" w14:textId="77777777" w:rsidR="00185D35" w:rsidRPr="00185D35" w:rsidRDefault="00185D35" w:rsidP="00185D35">
      <w:pPr>
        <w:pStyle w:val="BodyText"/>
        <w:ind w:left="567" w:right="114" w:hanging="22"/>
        <w:jc w:val="both"/>
        <w:rPr>
          <w:rFonts w:ascii="Calibri" w:hAnsi="Calibri"/>
        </w:rPr>
      </w:pPr>
      <w:r w:rsidRPr="00185D35">
        <w:rPr>
          <w:rFonts w:ascii="Calibri" w:hAnsi="Calibri"/>
        </w:rPr>
        <w:t>Risk exists as a consequence of uncertainty and is present in all University activities. The exposure is normally expressed in terms of the failure to reach an objective and the operational, reputational and financial damage that may be incurred as a</w:t>
      </w:r>
      <w:r w:rsidRPr="00185D35">
        <w:rPr>
          <w:rFonts w:ascii="Calibri" w:hAnsi="Calibri"/>
          <w:spacing w:val="-21"/>
        </w:rPr>
        <w:t xml:space="preserve"> </w:t>
      </w:r>
      <w:r w:rsidRPr="00185D35">
        <w:rPr>
          <w:rFonts w:ascii="Calibri" w:hAnsi="Calibri"/>
        </w:rPr>
        <w:t>result.</w:t>
      </w:r>
    </w:p>
    <w:p w14:paraId="0123CCB6" w14:textId="77777777" w:rsidR="00185D35" w:rsidRPr="00185D35" w:rsidRDefault="00185D35" w:rsidP="00185D35">
      <w:pPr>
        <w:pStyle w:val="BodyText"/>
        <w:spacing w:before="8"/>
        <w:rPr>
          <w:rFonts w:ascii="Calibri" w:hAnsi="Calibri"/>
          <w:sz w:val="21"/>
        </w:rPr>
      </w:pPr>
    </w:p>
    <w:p w14:paraId="55711751" w14:textId="77777777" w:rsidR="00185D35" w:rsidRPr="00185D35" w:rsidRDefault="00185D35" w:rsidP="00185D35">
      <w:pPr>
        <w:pStyle w:val="Heading3"/>
        <w:numPr>
          <w:ilvl w:val="0"/>
          <w:numId w:val="24"/>
        </w:numPr>
        <w:tabs>
          <w:tab w:val="left" w:pos="838"/>
          <w:tab w:val="left" w:pos="839"/>
        </w:tabs>
        <w:ind w:left="567" w:hanging="425"/>
        <w:rPr>
          <w:rFonts w:ascii="Calibri" w:hAnsi="Calibri"/>
        </w:rPr>
      </w:pPr>
      <w:r w:rsidRPr="00185D35">
        <w:rPr>
          <w:rFonts w:ascii="Calibri" w:hAnsi="Calibri"/>
        </w:rPr>
        <w:t>What is risk</w:t>
      </w:r>
      <w:r w:rsidRPr="00185D35">
        <w:rPr>
          <w:rFonts w:ascii="Calibri" w:hAnsi="Calibri"/>
          <w:spacing w:val="-5"/>
        </w:rPr>
        <w:t xml:space="preserve"> </w:t>
      </w:r>
      <w:r w:rsidRPr="00185D35">
        <w:rPr>
          <w:rFonts w:ascii="Calibri" w:hAnsi="Calibri"/>
        </w:rPr>
        <w:t>management?</w:t>
      </w:r>
    </w:p>
    <w:p w14:paraId="6E9856EA" w14:textId="77777777" w:rsidR="00185D35" w:rsidRPr="00185D35" w:rsidRDefault="00185D35" w:rsidP="00185D35">
      <w:pPr>
        <w:pStyle w:val="BodyText"/>
        <w:spacing w:before="4"/>
        <w:ind w:left="567" w:right="115" w:hanging="22"/>
        <w:jc w:val="both"/>
        <w:rPr>
          <w:rFonts w:ascii="Calibri" w:hAnsi="Calibri"/>
        </w:rPr>
      </w:pPr>
      <w:r w:rsidRPr="00185D35">
        <w:rPr>
          <w:rFonts w:ascii="Calibri" w:hAnsi="Calibri"/>
        </w:rPr>
        <w:t>Risk management is the planned and systematic approach to identifying, evaluating and controlling risks at all levels of the organisation.</w:t>
      </w:r>
    </w:p>
    <w:p w14:paraId="654B482A" w14:textId="77777777" w:rsidR="00185D35" w:rsidRPr="00185D35" w:rsidRDefault="00185D35" w:rsidP="00185D35">
      <w:pPr>
        <w:pStyle w:val="BodyText"/>
        <w:spacing w:before="8"/>
        <w:rPr>
          <w:rFonts w:ascii="Calibri" w:hAnsi="Calibri"/>
          <w:sz w:val="21"/>
        </w:rPr>
      </w:pPr>
    </w:p>
    <w:p w14:paraId="141C6886" w14:textId="77777777" w:rsidR="00185D35" w:rsidRPr="00185D35" w:rsidRDefault="00185D35" w:rsidP="00185D35">
      <w:pPr>
        <w:pStyle w:val="Heading3"/>
        <w:numPr>
          <w:ilvl w:val="0"/>
          <w:numId w:val="24"/>
        </w:numPr>
        <w:tabs>
          <w:tab w:val="left" w:pos="838"/>
          <w:tab w:val="left" w:pos="839"/>
        </w:tabs>
        <w:ind w:left="567" w:hanging="425"/>
        <w:rPr>
          <w:rFonts w:ascii="Calibri" w:hAnsi="Calibri"/>
        </w:rPr>
      </w:pPr>
      <w:r w:rsidRPr="00185D35">
        <w:rPr>
          <w:rFonts w:ascii="Calibri" w:hAnsi="Calibri"/>
        </w:rPr>
        <w:t>The University’s</w:t>
      </w:r>
      <w:r w:rsidRPr="00185D35">
        <w:rPr>
          <w:rFonts w:ascii="Calibri" w:hAnsi="Calibri"/>
          <w:spacing w:val="-1"/>
        </w:rPr>
        <w:t xml:space="preserve"> </w:t>
      </w:r>
      <w:r w:rsidRPr="00185D35">
        <w:rPr>
          <w:rFonts w:ascii="Calibri" w:hAnsi="Calibri"/>
        </w:rPr>
        <w:t>approach</w:t>
      </w:r>
    </w:p>
    <w:p w14:paraId="20E29A6C" w14:textId="77777777" w:rsidR="00185D35" w:rsidRPr="00185D35" w:rsidRDefault="00185D35" w:rsidP="00185D35">
      <w:pPr>
        <w:pStyle w:val="BodyText"/>
        <w:spacing w:before="2"/>
        <w:ind w:left="567"/>
        <w:jc w:val="both"/>
        <w:rPr>
          <w:rFonts w:ascii="Calibri" w:hAnsi="Calibri"/>
        </w:rPr>
      </w:pPr>
      <w:r w:rsidRPr="00185D35">
        <w:rPr>
          <w:rFonts w:ascii="Calibri" w:hAnsi="Calibri"/>
        </w:rPr>
        <w:t>The University’s approach to risk management is guided by the following principles:</w:t>
      </w:r>
    </w:p>
    <w:p w14:paraId="304AEE7D" w14:textId="77777777" w:rsidR="00185D35" w:rsidRPr="00185D35" w:rsidRDefault="00185D35" w:rsidP="00185D35">
      <w:pPr>
        <w:pStyle w:val="BodyText"/>
        <w:rPr>
          <w:rFonts w:ascii="Calibri" w:hAnsi="Calibri"/>
        </w:rPr>
      </w:pPr>
    </w:p>
    <w:p w14:paraId="45ABEF4D" w14:textId="77777777" w:rsidR="00185D35" w:rsidRPr="00185D35" w:rsidRDefault="00185D35" w:rsidP="00185D35">
      <w:pPr>
        <w:pStyle w:val="ListParagraph"/>
        <w:widowControl w:val="0"/>
        <w:numPr>
          <w:ilvl w:val="1"/>
          <w:numId w:val="24"/>
        </w:numPr>
        <w:tabs>
          <w:tab w:val="left" w:pos="910"/>
          <w:tab w:val="left" w:pos="911"/>
        </w:tabs>
        <w:autoSpaceDE w:val="0"/>
        <w:autoSpaceDN w:val="0"/>
        <w:ind w:right="117" w:hanging="201"/>
        <w:contextualSpacing w:val="0"/>
        <w:rPr>
          <w:rFonts w:ascii="Calibri" w:hAnsi="Calibri"/>
          <w:sz w:val="22"/>
          <w:szCs w:val="22"/>
        </w:rPr>
      </w:pPr>
      <w:r w:rsidRPr="00185D35">
        <w:rPr>
          <w:rFonts w:ascii="Calibri" w:hAnsi="Calibri"/>
          <w:sz w:val="22"/>
          <w:szCs w:val="22"/>
        </w:rPr>
        <w:t>the University Court has responsibility for the effectiveness of internal controls based on information provided by Audit</w:t>
      </w:r>
      <w:r w:rsidRPr="00185D35">
        <w:rPr>
          <w:rFonts w:ascii="Calibri" w:hAnsi="Calibri"/>
          <w:spacing w:val="-3"/>
          <w:sz w:val="22"/>
          <w:szCs w:val="22"/>
        </w:rPr>
        <w:t xml:space="preserve"> </w:t>
      </w:r>
      <w:r w:rsidRPr="00185D35">
        <w:rPr>
          <w:rFonts w:ascii="Calibri" w:hAnsi="Calibri"/>
          <w:sz w:val="22"/>
          <w:szCs w:val="22"/>
        </w:rPr>
        <w:t>Committee</w:t>
      </w:r>
    </w:p>
    <w:p w14:paraId="70083828" w14:textId="77777777" w:rsidR="00185D35" w:rsidRPr="00185D35" w:rsidRDefault="00185D35" w:rsidP="00185D35">
      <w:pPr>
        <w:pStyle w:val="BodyText"/>
        <w:spacing w:before="2"/>
        <w:ind w:hanging="201"/>
        <w:rPr>
          <w:rFonts w:ascii="Calibri" w:hAnsi="Calibri"/>
        </w:rPr>
      </w:pPr>
    </w:p>
    <w:p w14:paraId="065F58E9" w14:textId="77777777" w:rsidR="00185D35" w:rsidRPr="00185D35" w:rsidRDefault="00185D35" w:rsidP="00185D35">
      <w:pPr>
        <w:pStyle w:val="ListParagraph"/>
        <w:widowControl w:val="0"/>
        <w:numPr>
          <w:ilvl w:val="1"/>
          <w:numId w:val="24"/>
        </w:numPr>
        <w:tabs>
          <w:tab w:val="left" w:pos="910"/>
          <w:tab w:val="left" w:pos="911"/>
        </w:tabs>
        <w:autoSpaceDE w:val="0"/>
        <w:autoSpaceDN w:val="0"/>
        <w:spacing w:line="237" w:lineRule="auto"/>
        <w:ind w:right="111" w:hanging="201"/>
        <w:contextualSpacing w:val="0"/>
        <w:rPr>
          <w:rFonts w:ascii="Calibri" w:hAnsi="Calibri"/>
          <w:sz w:val="22"/>
          <w:szCs w:val="22"/>
        </w:rPr>
      </w:pPr>
      <w:r w:rsidRPr="00185D35">
        <w:rPr>
          <w:rFonts w:ascii="Calibri" w:hAnsi="Calibri"/>
          <w:sz w:val="22"/>
          <w:szCs w:val="22"/>
        </w:rPr>
        <w:t>risk management is implemented as an integral part of University activities at all levels and is monitored by the Audit</w:t>
      </w:r>
      <w:r w:rsidRPr="00185D35">
        <w:rPr>
          <w:rFonts w:ascii="Calibri" w:hAnsi="Calibri"/>
          <w:spacing w:val="-5"/>
          <w:sz w:val="22"/>
          <w:szCs w:val="22"/>
        </w:rPr>
        <w:t xml:space="preserve"> </w:t>
      </w:r>
      <w:r w:rsidRPr="00185D35">
        <w:rPr>
          <w:rFonts w:ascii="Calibri" w:hAnsi="Calibri"/>
          <w:sz w:val="22"/>
          <w:szCs w:val="22"/>
        </w:rPr>
        <w:t>Committee</w:t>
      </w:r>
    </w:p>
    <w:p w14:paraId="12E29839" w14:textId="4DBC327E" w:rsidR="00185D35" w:rsidRPr="00185D35" w:rsidRDefault="00185D35" w:rsidP="00185D35">
      <w:pPr>
        <w:pStyle w:val="BodyText"/>
        <w:tabs>
          <w:tab w:val="left" w:pos="3027"/>
        </w:tabs>
        <w:spacing w:before="11"/>
        <w:ind w:hanging="201"/>
        <w:rPr>
          <w:rFonts w:ascii="Calibri" w:hAnsi="Calibri"/>
        </w:rPr>
        <w:sectPr w:rsidR="00185D35" w:rsidRPr="00185D35">
          <w:pgSz w:w="11910" w:h="16840"/>
          <w:pgMar w:top="1340" w:right="1300" w:bottom="940" w:left="1300" w:header="0" w:footer="756" w:gutter="0"/>
          <w:cols w:space="720"/>
        </w:sectPr>
      </w:pPr>
    </w:p>
    <w:p w14:paraId="19F67151" w14:textId="77777777" w:rsidR="00185D35" w:rsidRPr="00185D35" w:rsidRDefault="00185D35" w:rsidP="00185D35">
      <w:pPr>
        <w:pStyle w:val="ListParagraph"/>
        <w:widowControl w:val="0"/>
        <w:numPr>
          <w:ilvl w:val="1"/>
          <w:numId w:val="24"/>
        </w:numPr>
        <w:tabs>
          <w:tab w:val="left" w:pos="911"/>
        </w:tabs>
        <w:autoSpaceDE w:val="0"/>
        <w:autoSpaceDN w:val="0"/>
        <w:spacing w:before="91"/>
        <w:ind w:right="118" w:hanging="201"/>
        <w:contextualSpacing w:val="0"/>
        <w:jc w:val="both"/>
        <w:rPr>
          <w:rFonts w:ascii="Calibri" w:hAnsi="Calibri"/>
          <w:sz w:val="22"/>
          <w:szCs w:val="22"/>
        </w:rPr>
      </w:pPr>
      <w:r w:rsidRPr="00185D35">
        <w:rPr>
          <w:rFonts w:ascii="Calibri" w:hAnsi="Calibri"/>
          <w:sz w:val="22"/>
          <w:szCs w:val="22"/>
        </w:rPr>
        <w:lastRenderedPageBreak/>
        <w:t xml:space="preserve">risks are identified, </w:t>
      </w:r>
      <w:proofErr w:type="gramStart"/>
      <w:r w:rsidRPr="00185D35">
        <w:rPr>
          <w:rFonts w:ascii="Calibri" w:hAnsi="Calibri"/>
          <w:sz w:val="22"/>
          <w:szCs w:val="22"/>
        </w:rPr>
        <w:t>analysed</w:t>
      </w:r>
      <w:proofErr w:type="gramEnd"/>
      <w:r w:rsidRPr="00185D35">
        <w:rPr>
          <w:rFonts w:ascii="Calibri" w:hAnsi="Calibri"/>
          <w:sz w:val="22"/>
          <w:szCs w:val="22"/>
        </w:rPr>
        <w:t xml:space="preserve"> and recorded as appropriate, normally within a risk register that scores the likelihood and impact of</w:t>
      </w:r>
      <w:r w:rsidRPr="00185D35">
        <w:rPr>
          <w:rFonts w:ascii="Calibri" w:hAnsi="Calibri"/>
          <w:spacing w:val="-7"/>
          <w:sz w:val="22"/>
          <w:szCs w:val="22"/>
        </w:rPr>
        <w:t xml:space="preserve"> </w:t>
      </w:r>
      <w:r w:rsidRPr="00185D35">
        <w:rPr>
          <w:rFonts w:ascii="Calibri" w:hAnsi="Calibri"/>
          <w:sz w:val="22"/>
          <w:szCs w:val="22"/>
        </w:rPr>
        <w:t>risks</w:t>
      </w:r>
    </w:p>
    <w:p w14:paraId="1E65E328" w14:textId="77777777" w:rsidR="00185D35" w:rsidRPr="00185D35" w:rsidRDefault="00185D35" w:rsidP="00185D35">
      <w:pPr>
        <w:pStyle w:val="BodyText"/>
        <w:spacing w:before="2"/>
        <w:ind w:hanging="201"/>
        <w:rPr>
          <w:rFonts w:ascii="Calibri" w:hAnsi="Calibri"/>
        </w:rPr>
      </w:pPr>
    </w:p>
    <w:p w14:paraId="45C827E2" w14:textId="77777777" w:rsidR="00185D35" w:rsidRPr="00185D35" w:rsidRDefault="00185D35" w:rsidP="00185D35">
      <w:pPr>
        <w:pStyle w:val="ListParagraph"/>
        <w:widowControl w:val="0"/>
        <w:numPr>
          <w:ilvl w:val="1"/>
          <w:numId w:val="24"/>
        </w:numPr>
        <w:tabs>
          <w:tab w:val="left" w:pos="911"/>
        </w:tabs>
        <w:autoSpaceDE w:val="0"/>
        <w:autoSpaceDN w:val="0"/>
        <w:spacing w:line="237" w:lineRule="auto"/>
        <w:ind w:right="113" w:hanging="201"/>
        <w:contextualSpacing w:val="0"/>
        <w:jc w:val="both"/>
        <w:rPr>
          <w:rFonts w:ascii="Calibri" w:hAnsi="Calibri"/>
          <w:sz w:val="22"/>
          <w:szCs w:val="22"/>
        </w:rPr>
      </w:pPr>
      <w:r w:rsidRPr="00185D35">
        <w:rPr>
          <w:rFonts w:ascii="Calibri" w:hAnsi="Calibri"/>
          <w:sz w:val="22"/>
          <w:szCs w:val="22"/>
        </w:rPr>
        <w:t>the management of risk will involve user-friendly language and University processes will be kept as simple and effective as possible</w:t>
      </w:r>
    </w:p>
    <w:p w14:paraId="2AAEE557" w14:textId="77777777" w:rsidR="00185D35" w:rsidRPr="00185D35" w:rsidRDefault="00185D35" w:rsidP="00185D35">
      <w:pPr>
        <w:pStyle w:val="BodyText"/>
        <w:ind w:hanging="201"/>
        <w:rPr>
          <w:rFonts w:ascii="Calibri" w:hAnsi="Calibri"/>
        </w:rPr>
      </w:pPr>
    </w:p>
    <w:p w14:paraId="12A10516" w14:textId="77777777" w:rsidR="00185D35" w:rsidRPr="00185D35" w:rsidRDefault="00185D35" w:rsidP="00185D35">
      <w:pPr>
        <w:pStyle w:val="ListParagraph"/>
        <w:widowControl w:val="0"/>
        <w:numPr>
          <w:ilvl w:val="1"/>
          <w:numId w:val="24"/>
        </w:numPr>
        <w:tabs>
          <w:tab w:val="left" w:pos="911"/>
        </w:tabs>
        <w:autoSpaceDE w:val="0"/>
        <w:autoSpaceDN w:val="0"/>
        <w:ind w:right="114" w:hanging="201"/>
        <w:contextualSpacing w:val="0"/>
        <w:jc w:val="both"/>
        <w:rPr>
          <w:rFonts w:ascii="Calibri" w:hAnsi="Calibri"/>
          <w:sz w:val="22"/>
          <w:szCs w:val="22"/>
        </w:rPr>
      </w:pPr>
      <w:r w:rsidRPr="00185D35">
        <w:rPr>
          <w:rFonts w:ascii="Calibri" w:hAnsi="Calibri"/>
          <w:sz w:val="22"/>
          <w:szCs w:val="22"/>
        </w:rPr>
        <w:t>the financial and non-financial implications arising from risks and associated controls will be estimated as accurately as</w:t>
      </w:r>
      <w:r w:rsidRPr="00185D35">
        <w:rPr>
          <w:rFonts w:ascii="Calibri" w:hAnsi="Calibri"/>
          <w:spacing w:val="-7"/>
          <w:sz w:val="22"/>
          <w:szCs w:val="22"/>
        </w:rPr>
        <w:t xml:space="preserve"> </w:t>
      </w:r>
      <w:r w:rsidRPr="00185D35">
        <w:rPr>
          <w:rFonts w:ascii="Calibri" w:hAnsi="Calibri"/>
          <w:sz w:val="22"/>
          <w:szCs w:val="22"/>
        </w:rPr>
        <w:t>possible</w:t>
      </w:r>
    </w:p>
    <w:p w14:paraId="464CE599" w14:textId="77777777" w:rsidR="00185D35" w:rsidRPr="00185D35" w:rsidRDefault="00185D35" w:rsidP="00185D35">
      <w:pPr>
        <w:pStyle w:val="BodyText"/>
        <w:ind w:hanging="201"/>
        <w:rPr>
          <w:rFonts w:ascii="Calibri" w:hAnsi="Calibri"/>
        </w:rPr>
      </w:pPr>
    </w:p>
    <w:p w14:paraId="0F10F8CD" w14:textId="77777777" w:rsidR="00185D35" w:rsidRPr="00185D35" w:rsidRDefault="00185D35" w:rsidP="00185D35">
      <w:pPr>
        <w:pStyle w:val="ListParagraph"/>
        <w:widowControl w:val="0"/>
        <w:numPr>
          <w:ilvl w:val="1"/>
          <w:numId w:val="24"/>
        </w:numPr>
        <w:tabs>
          <w:tab w:val="left" w:pos="911"/>
        </w:tabs>
        <w:autoSpaceDE w:val="0"/>
        <w:autoSpaceDN w:val="0"/>
        <w:ind w:right="115" w:hanging="201"/>
        <w:contextualSpacing w:val="0"/>
        <w:jc w:val="both"/>
        <w:rPr>
          <w:rFonts w:ascii="Calibri" w:hAnsi="Calibri"/>
          <w:sz w:val="22"/>
          <w:szCs w:val="22"/>
        </w:rPr>
      </w:pPr>
      <w:r w:rsidRPr="00185D35">
        <w:rPr>
          <w:rFonts w:ascii="Calibri" w:hAnsi="Calibri"/>
          <w:sz w:val="22"/>
          <w:szCs w:val="22"/>
        </w:rPr>
        <w:t>the University Strategy and Policy Group (USPG) will support, advise and implement risk management processes and will act as a risk management committee when required</w:t>
      </w:r>
    </w:p>
    <w:p w14:paraId="19257843" w14:textId="77777777" w:rsidR="00185D35" w:rsidRPr="00185D35" w:rsidRDefault="00185D35" w:rsidP="00185D35">
      <w:pPr>
        <w:pStyle w:val="BodyText"/>
        <w:spacing w:before="8"/>
        <w:ind w:hanging="201"/>
        <w:rPr>
          <w:rFonts w:ascii="Calibri" w:hAnsi="Calibri"/>
        </w:rPr>
      </w:pPr>
    </w:p>
    <w:p w14:paraId="4D836720" w14:textId="77777777" w:rsidR="00185D35" w:rsidRPr="00185D35" w:rsidRDefault="00185D35" w:rsidP="00185D35">
      <w:pPr>
        <w:pStyle w:val="ListParagraph"/>
        <w:widowControl w:val="0"/>
        <w:numPr>
          <w:ilvl w:val="1"/>
          <w:numId w:val="24"/>
        </w:numPr>
        <w:tabs>
          <w:tab w:val="left" w:pos="911"/>
        </w:tabs>
        <w:autoSpaceDE w:val="0"/>
        <w:autoSpaceDN w:val="0"/>
        <w:ind w:right="115" w:hanging="201"/>
        <w:contextualSpacing w:val="0"/>
        <w:jc w:val="both"/>
        <w:rPr>
          <w:rFonts w:ascii="Calibri" w:hAnsi="Calibri"/>
          <w:sz w:val="22"/>
          <w:szCs w:val="22"/>
        </w:rPr>
      </w:pPr>
      <w:r w:rsidRPr="00185D35">
        <w:rPr>
          <w:rFonts w:ascii="Calibri" w:hAnsi="Calibri"/>
          <w:sz w:val="22"/>
          <w:szCs w:val="22"/>
        </w:rPr>
        <w:t>risk will be a standing item at meetings of the Senior Management Team (SMT), and heads of academic schools and service directors will be responsible for embedding good risk management practice within their school or service</w:t>
      </w:r>
      <w:r w:rsidRPr="00185D35">
        <w:rPr>
          <w:rFonts w:ascii="Calibri" w:hAnsi="Calibri"/>
          <w:spacing w:val="-3"/>
          <w:sz w:val="22"/>
          <w:szCs w:val="22"/>
        </w:rPr>
        <w:t xml:space="preserve"> </w:t>
      </w:r>
      <w:r w:rsidRPr="00185D35">
        <w:rPr>
          <w:rFonts w:ascii="Calibri" w:hAnsi="Calibri"/>
          <w:sz w:val="22"/>
          <w:szCs w:val="22"/>
        </w:rPr>
        <w:t>area.</w:t>
      </w:r>
    </w:p>
    <w:p w14:paraId="451806B9" w14:textId="77777777" w:rsidR="00185D35" w:rsidRPr="00185D35" w:rsidRDefault="00185D35" w:rsidP="00185D35">
      <w:pPr>
        <w:pStyle w:val="BodyText"/>
        <w:spacing w:before="11"/>
        <w:rPr>
          <w:rFonts w:ascii="Calibri" w:hAnsi="Calibri"/>
        </w:rPr>
      </w:pPr>
    </w:p>
    <w:p w14:paraId="45C6C7B7" w14:textId="77777777" w:rsidR="00185D35" w:rsidRPr="00185D35" w:rsidRDefault="00185D35" w:rsidP="00185D35">
      <w:pPr>
        <w:pStyle w:val="BodyText"/>
        <w:ind w:left="567" w:right="114" w:hanging="22"/>
        <w:jc w:val="both"/>
        <w:rPr>
          <w:rFonts w:ascii="Calibri" w:hAnsi="Calibri"/>
        </w:rPr>
      </w:pPr>
      <w:r w:rsidRPr="00185D35">
        <w:rPr>
          <w:rFonts w:ascii="Calibri" w:hAnsi="Calibri"/>
        </w:rPr>
        <w:t>The University uses five steps to manage risks, and a common template to record and report strategic and operational risks:</w:t>
      </w:r>
    </w:p>
    <w:p w14:paraId="75E88F85" w14:textId="77777777" w:rsidR="00185D35" w:rsidRPr="00185D35" w:rsidRDefault="00185D35" w:rsidP="00185D35">
      <w:pPr>
        <w:pStyle w:val="BodyText"/>
        <w:spacing w:before="11"/>
        <w:rPr>
          <w:rFonts w:ascii="Calibri" w:hAnsi="Calibri"/>
          <w:sz w:val="21"/>
        </w:rPr>
      </w:pPr>
    </w:p>
    <w:p w14:paraId="75D6CB90"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Step 1 – Identifying risks</w:t>
      </w:r>
    </w:p>
    <w:p w14:paraId="4C4C4308" w14:textId="77777777" w:rsidR="00185D35" w:rsidRPr="00185D35" w:rsidRDefault="00185D35" w:rsidP="00185D35">
      <w:pPr>
        <w:pStyle w:val="BodyText"/>
        <w:spacing w:before="1"/>
        <w:ind w:left="567" w:right="115" w:hanging="22"/>
        <w:jc w:val="both"/>
        <w:rPr>
          <w:rFonts w:ascii="Calibri" w:hAnsi="Calibri"/>
        </w:rPr>
      </w:pPr>
      <w:r w:rsidRPr="00185D35">
        <w:rPr>
          <w:rFonts w:ascii="Calibri" w:hAnsi="Calibri"/>
        </w:rPr>
        <w:t>The identification and review of risks takes place throughout the year and is a formal part of the planning and budgeting cycle. Each management group is encouraged to carry out ongoing reviews and updates of the linkages between strategic objectives and risks to ensure that focus is maintained on priority</w:t>
      </w:r>
      <w:r w:rsidRPr="00185D35">
        <w:rPr>
          <w:rFonts w:ascii="Calibri" w:hAnsi="Calibri"/>
          <w:spacing w:val="-9"/>
        </w:rPr>
        <w:t xml:space="preserve"> </w:t>
      </w:r>
      <w:r w:rsidRPr="00185D35">
        <w:rPr>
          <w:rFonts w:ascii="Calibri" w:hAnsi="Calibri"/>
        </w:rPr>
        <w:t>activities.</w:t>
      </w:r>
    </w:p>
    <w:p w14:paraId="24B45D27" w14:textId="77777777" w:rsidR="00185D35" w:rsidRPr="00185D35" w:rsidRDefault="00185D35" w:rsidP="00185D35">
      <w:pPr>
        <w:pStyle w:val="BodyText"/>
        <w:ind w:left="567"/>
        <w:rPr>
          <w:rFonts w:ascii="Calibri" w:hAnsi="Calibri"/>
        </w:rPr>
      </w:pPr>
    </w:p>
    <w:p w14:paraId="36667371" w14:textId="77777777" w:rsidR="00185D35" w:rsidRPr="00185D35" w:rsidRDefault="00185D35" w:rsidP="00185D35">
      <w:pPr>
        <w:pStyle w:val="BodyText"/>
        <w:ind w:left="567" w:right="112" w:hanging="22"/>
        <w:jc w:val="both"/>
        <w:rPr>
          <w:rFonts w:ascii="Calibri" w:hAnsi="Calibri"/>
        </w:rPr>
      </w:pPr>
      <w:r w:rsidRPr="00185D35">
        <w:rPr>
          <w:rFonts w:ascii="Calibri" w:hAnsi="Calibri"/>
        </w:rPr>
        <w:t>Strategic risks typically affect the whole of an organisation and not just one or more of its parts. Because of this, strategic risks are recorded and monitored at an institutional level and form a key part of strategic management. Operational risks refer to issues arising from the normal business operations. Accordingly, they affect the day-to-day running of the University in contrast to strategic risks that arise from the organisation’s strategic positioning. Operational risks are typically managed at school or service level and can be managed and mitigated by internal control systems.</w:t>
      </w:r>
    </w:p>
    <w:p w14:paraId="13677A77" w14:textId="77777777" w:rsidR="00185D35" w:rsidRPr="00185D35" w:rsidRDefault="00185D35" w:rsidP="00185D35">
      <w:pPr>
        <w:pStyle w:val="BodyText"/>
        <w:ind w:left="567"/>
        <w:rPr>
          <w:rFonts w:ascii="Calibri" w:hAnsi="Calibri"/>
        </w:rPr>
      </w:pPr>
    </w:p>
    <w:p w14:paraId="03D1D47E"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Step 2 – Analysing the risk</w:t>
      </w:r>
    </w:p>
    <w:p w14:paraId="23D18E29" w14:textId="77777777" w:rsidR="00185D35" w:rsidRPr="00185D35" w:rsidRDefault="00185D35" w:rsidP="00185D35">
      <w:pPr>
        <w:pStyle w:val="BodyText"/>
        <w:spacing w:before="2"/>
        <w:ind w:left="567" w:right="112" w:hanging="22"/>
        <w:jc w:val="both"/>
        <w:rPr>
          <w:rFonts w:ascii="Calibri" w:hAnsi="Calibri"/>
        </w:rPr>
      </w:pPr>
      <w:r w:rsidRPr="00185D35">
        <w:rPr>
          <w:rFonts w:ascii="Calibri" w:hAnsi="Calibri"/>
        </w:rPr>
        <w:t>The University uses a risk model to measure the likelihood and impact of individual risks identified in operational or strategic registers. Impact is the potential severity or effect of the risk. Likelihood is the frequency or probability of a risk occurring. The risk score is calculated using the impact and likelihood to produce an evaluation of net risk that can be translated into a traffic light</w:t>
      </w:r>
      <w:r w:rsidRPr="00185D35">
        <w:rPr>
          <w:rFonts w:ascii="Calibri" w:hAnsi="Calibri"/>
          <w:spacing w:val="-5"/>
        </w:rPr>
        <w:t xml:space="preserve"> </w:t>
      </w:r>
      <w:r w:rsidRPr="00185D35">
        <w:rPr>
          <w:rFonts w:ascii="Calibri" w:hAnsi="Calibri"/>
        </w:rPr>
        <w:t>system.</w:t>
      </w:r>
    </w:p>
    <w:p w14:paraId="39479110" w14:textId="77777777" w:rsidR="00185D35" w:rsidRPr="00185D35" w:rsidRDefault="00185D35" w:rsidP="00185D35">
      <w:pPr>
        <w:pStyle w:val="BodyText"/>
        <w:spacing w:before="10"/>
        <w:ind w:left="567"/>
        <w:rPr>
          <w:rFonts w:ascii="Calibri" w:hAnsi="Calibri"/>
        </w:rPr>
      </w:pPr>
    </w:p>
    <w:p w14:paraId="0994E84F" w14:textId="77777777" w:rsidR="00185D35" w:rsidRPr="00185D35" w:rsidRDefault="00185D35" w:rsidP="00185D35">
      <w:pPr>
        <w:spacing w:line="252" w:lineRule="exact"/>
        <w:ind w:left="567"/>
        <w:jc w:val="both"/>
        <w:rPr>
          <w:rFonts w:ascii="Calibri" w:hAnsi="Calibri"/>
          <w:b/>
          <w:bCs/>
          <w:i/>
          <w:sz w:val="22"/>
          <w:szCs w:val="22"/>
        </w:rPr>
      </w:pPr>
      <w:r w:rsidRPr="00185D35">
        <w:rPr>
          <w:rFonts w:ascii="Calibri" w:hAnsi="Calibri"/>
          <w:b/>
          <w:bCs/>
          <w:i/>
          <w:sz w:val="22"/>
          <w:szCs w:val="22"/>
        </w:rPr>
        <w:t>Step 3 – Determining the risk owner</w:t>
      </w:r>
    </w:p>
    <w:p w14:paraId="30A0DBD8" w14:textId="77777777" w:rsidR="00185D35" w:rsidRPr="00185D35" w:rsidRDefault="00185D35" w:rsidP="00185D35">
      <w:pPr>
        <w:pStyle w:val="BodyText"/>
        <w:ind w:left="567" w:right="120" w:hanging="22"/>
        <w:jc w:val="both"/>
        <w:rPr>
          <w:rFonts w:ascii="Calibri" w:hAnsi="Calibri"/>
        </w:rPr>
      </w:pPr>
      <w:r w:rsidRPr="00185D35">
        <w:rPr>
          <w:rFonts w:ascii="Calibri" w:hAnsi="Calibri"/>
        </w:rPr>
        <w:t>Strategic and operational risks should be assigned to a risk owner, who is responsible for managing the risk and associated control measures.</w:t>
      </w:r>
    </w:p>
    <w:p w14:paraId="261EA957" w14:textId="77777777" w:rsidR="00185D35" w:rsidRPr="00185D35" w:rsidRDefault="00185D35" w:rsidP="00185D35">
      <w:pPr>
        <w:pStyle w:val="BodyText"/>
        <w:spacing w:before="2"/>
        <w:ind w:left="567"/>
        <w:rPr>
          <w:rFonts w:ascii="Calibri" w:hAnsi="Calibri"/>
        </w:rPr>
      </w:pPr>
    </w:p>
    <w:p w14:paraId="0153271B" w14:textId="77777777" w:rsidR="00185D35" w:rsidRPr="00185D35" w:rsidRDefault="00185D35" w:rsidP="00185D35">
      <w:pPr>
        <w:spacing w:line="252" w:lineRule="exact"/>
        <w:ind w:left="567"/>
        <w:jc w:val="both"/>
        <w:rPr>
          <w:rFonts w:ascii="Calibri" w:hAnsi="Calibri"/>
          <w:b/>
          <w:bCs/>
          <w:i/>
          <w:sz w:val="22"/>
          <w:szCs w:val="22"/>
        </w:rPr>
      </w:pPr>
      <w:r w:rsidRPr="00185D35">
        <w:rPr>
          <w:rFonts w:ascii="Calibri" w:hAnsi="Calibri"/>
          <w:b/>
          <w:bCs/>
          <w:i/>
          <w:sz w:val="22"/>
          <w:szCs w:val="22"/>
        </w:rPr>
        <w:t>Step 4 – Identifying control measures</w:t>
      </w:r>
    </w:p>
    <w:p w14:paraId="6E0FE8A2" w14:textId="77777777" w:rsidR="00185D35" w:rsidRPr="00185D35" w:rsidRDefault="00185D35" w:rsidP="00185D35">
      <w:pPr>
        <w:pStyle w:val="BodyText"/>
        <w:ind w:left="567" w:right="115" w:hanging="22"/>
        <w:jc w:val="both"/>
        <w:rPr>
          <w:rFonts w:ascii="Calibri" w:hAnsi="Calibri"/>
        </w:rPr>
      </w:pPr>
      <w:r w:rsidRPr="00185D35">
        <w:rPr>
          <w:rFonts w:ascii="Calibri" w:hAnsi="Calibri"/>
        </w:rPr>
        <w:t>The identification of control measures will depend on the treatment category of the risk at residual level. The University uses the 4Ts to categorise risk:</w:t>
      </w:r>
    </w:p>
    <w:p w14:paraId="735C8709" w14:textId="77777777" w:rsidR="00185D35" w:rsidRPr="00185D35" w:rsidRDefault="00185D35" w:rsidP="00185D35">
      <w:pPr>
        <w:pStyle w:val="BodyText"/>
        <w:spacing w:before="10"/>
        <w:rPr>
          <w:rFonts w:ascii="Calibri" w:hAnsi="Calibri"/>
          <w:sz w:val="21"/>
        </w:rPr>
      </w:pPr>
    </w:p>
    <w:p w14:paraId="3FB55723" w14:textId="77777777" w:rsidR="00185D35" w:rsidRPr="00185D35" w:rsidRDefault="00185D35" w:rsidP="00185D35">
      <w:pPr>
        <w:pStyle w:val="ListParagraph"/>
        <w:widowControl w:val="0"/>
        <w:numPr>
          <w:ilvl w:val="1"/>
          <w:numId w:val="24"/>
        </w:numPr>
        <w:tabs>
          <w:tab w:val="left" w:pos="838"/>
          <w:tab w:val="left" w:pos="839"/>
        </w:tabs>
        <w:autoSpaceDE w:val="0"/>
        <w:autoSpaceDN w:val="0"/>
        <w:ind w:left="993" w:hanging="142"/>
        <w:contextualSpacing w:val="0"/>
        <w:rPr>
          <w:rFonts w:ascii="Calibri" w:hAnsi="Calibri"/>
          <w:sz w:val="22"/>
          <w:szCs w:val="22"/>
        </w:rPr>
      </w:pPr>
      <w:r w:rsidRPr="00185D35">
        <w:rPr>
          <w:rFonts w:ascii="Calibri" w:hAnsi="Calibri"/>
          <w:sz w:val="22"/>
          <w:szCs w:val="22"/>
        </w:rPr>
        <w:t>Tolerate – risks are accepted and built into operational or project</w:t>
      </w:r>
      <w:r w:rsidRPr="00185D35">
        <w:rPr>
          <w:rFonts w:ascii="Calibri" w:hAnsi="Calibri"/>
          <w:spacing w:val="-15"/>
          <w:sz w:val="22"/>
          <w:szCs w:val="22"/>
        </w:rPr>
        <w:t xml:space="preserve"> </w:t>
      </w:r>
      <w:r w:rsidRPr="00185D35">
        <w:rPr>
          <w:rFonts w:ascii="Calibri" w:hAnsi="Calibri"/>
          <w:sz w:val="22"/>
          <w:szCs w:val="22"/>
        </w:rPr>
        <w:t>management</w:t>
      </w:r>
    </w:p>
    <w:p w14:paraId="2ADC9EBA" w14:textId="77777777" w:rsidR="00185D35" w:rsidRPr="00185D35" w:rsidRDefault="00185D35" w:rsidP="00185D35">
      <w:pPr>
        <w:pStyle w:val="BodyText"/>
        <w:spacing w:before="9"/>
        <w:ind w:left="993" w:hanging="142"/>
        <w:rPr>
          <w:rFonts w:ascii="Calibri" w:hAnsi="Calibri"/>
        </w:rPr>
      </w:pPr>
    </w:p>
    <w:p w14:paraId="6CC20435" w14:textId="77777777" w:rsidR="00185D35" w:rsidRPr="00185D35" w:rsidRDefault="00185D35" w:rsidP="00185D35">
      <w:pPr>
        <w:pStyle w:val="ListParagraph"/>
        <w:widowControl w:val="0"/>
        <w:numPr>
          <w:ilvl w:val="1"/>
          <w:numId w:val="24"/>
        </w:numPr>
        <w:tabs>
          <w:tab w:val="left" w:pos="839"/>
        </w:tabs>
        <w:autoSpaceDE w:val="0"/>
        <w:autoSpaceDN w:val="0"/>
        <w:spacing w:before="1"/>
        <w:ind w:left="993" w:right="116" w:hanging="142"/>
        <w:contextualSpacing w:val="0"/>
        <w:jc w:val="both"/>
        <w:rPr>
          <w:rFonts w:ascii="Calibri" w:hAnsi="Calibri"/>
          <w:sz w:val="22"/>
          <w:szCs w:val="22"/>
        </w:rPr>
      </w:pPr>
      <w:r w:rsidRPr="00185D35">
        <w:rPr>
          <w:rFonts w:ascii="Calibri" w:hAnsi="Calibri"/>
          <w:sz w:val="22"/>
          <w:szCs w:val="22"/>
        </w:rPr>
        <w:t>Treat – risks are reduced by management action (e.g. putting in place a business continuity</w:t>
      </w:r>
      <w:r w:rsidRPr="00185D35">
        <w:rPr>
          <w:rFonts w:ascii="Calibri" w:hAnsi="Calibri"/>
          <w:spacing w:val="-3"/>
          <w:sz w:val="22"/>
          <w:szCs w:val="22"/>
        </w:rPr>
        <w:t xml:space="preserve"> </w:t>
      </w:r>
      <w:r w:rsidRPr="00185D35">
        <w:rPr>
          <w:rFonts w:ascii="Calibri" w:hAnsi="Calibri"/>
          <w:sz w:val="22"/>
          <w:szCs w:val="22"/>
        </w:rPr>
        <w:t>plan)</w:t>
      </w:r>
    </w:p>
    <w:p w14:paraId="6A285FC2" w14:textId="77777777" w:rsidR="00185D35" w:rsidRPr="00185D35" w:rsidRDefault="00185D35" w:rsidP="00185D35">
      <w:pPr>
        <w:ind w:left="993" w:hanging="142"/>
        <w:jc w:val="both"/>
        <w:rPr>
          <w:rFonts w:ascii="Calibri" w:hAnsi="Calibri"/>
          <w:sz w:val="22"/>
          <w:szCs w:val="22"/>
        </w:rPr>
        <w:sectPr w:rsidR="00185D35" w:rsidRPr="00185D35">
          <w:pgSz w:w="11910" w:h="16840"/>
          <w:pgMar w:top="1580" w:right="1300" w:bottom="940" w:left="1300" w:header="0" w:footer="756" w:gutter="0"/>
          <w:cols w:space="720"/>
        </w:sectPr>
      </w:pPr>
    </w:p>
    <w:p w14:paraId="29EE9515" w14:textId="77777777" w:rsidR="00185D35" w:rsidRPr="00185D35" w:rsidRDefault="00185D35" w:rsidP="00185D35">
      <w:pPr>
        <w:pStyle w:val="ListParagraph"/>
        <w:widowControl w:val="0"/>
        <w:numPr>
          <w:ilvl w:val="1"/>
          <w:numId w:val="24"/>
        </w:numPr>
        <w:tabs>
          <w:tab w:val="left" w:pos="838"/>
          <w:tab w:val="left" w:pos="839"/>
        </w:tabs>
        <w:autoSpaceDE w:val="0"/>
        <w:autoSpaceDN w:val="0"/>
        <w:spacing w:before="91"/>
        <w:ind w:left="993" w:right="118" w:hanging="142"/>
        <w:contextualSpacing w:val="0"/>
        <w:rPr>
          <w:rFonts w:ascii="Calibri" w:hAnsi="Calibri"/>
          <w:sz w:val="22"/>
          <w:szCs w:val="22"/>
        </w:rPr>
      </w:pPr>
      <w:r w:rsidRPr="00185D35">
        <w:rPr>
          <w:rFonts w:ascii="Calibri" w:hAnsi="Calibri"/>
          <w:sz w:val="22"/>
          <w:szCs w:val="22"/>
        </w:rPr>
        <w:lastRenderedPageBreak/>
        <w:t>Transfer – risks are passed on to another organisation or body (e.g. outsourcing, insurance or subcontracting)</w:t>
      </w:r>
    </w:p>
    <w:p w14:paraId="40DA06EB" w14:textId="77777777" w:rsidR="00185D35" w:rsidRPr="00185D35" w:rsidRDefault="00185D35" w:rsidP="00185D35">
      <w:pPr>
        <w:pStyle w:val="BodyText"/>
        <w:spacing w:before="11"/>
        <w:ind w:left="993" w:hanging="142"/>
        <w:rPr>
          <w:rFonts w:ascii="Calibri" w:hAnsi="Calibri"/>
        </w:rPr>
      </w:pPr>
    </w:p>
    <w:p w14:paraId="0748395F" w14:textId="77777777" w:rsidR="00185D35" w:rsidRPr="00185D35" w:rsidRDefault="00185D35" w:rsidP="00185D35">
      <w:pPr>
        <w:pStyle w:val="ListParagraph"/>
        <w:widowControl w:val="0"/>
        <w:numPr>
          <w:ilvl w:val="1"/>
          <w:numId w:val="24"/>
        </w:numPr>
        <w:tabs>
          <w:tab w:val="left" w:pos="838"/>
          <w:tab w:val="left" w:pos="839"/>
        </w:tabs>
        <w:autoSpaceDE w:val="0"/>
        <w:autoSpaceDN w:val="0"/>
        <w:ind w:left="993" w:hanging="142"/>
        <w:contextualSpacing w:val="0"/>
        <w:rPr>
          <w:rFonts w:ascii="Calibri" w:hAnsi="Calibri"/>
          <w:sz w:val="22"/>
          <w:szCs w:val="22"/>
        </w:rPr>
      </w:pPr>
      <w:r w:rsidRPr="00185D35">
        <w:rPr>
          <w:rFonts w:ascii="Calibri" w:hAnsi="Calibri"/>
          <w:sz w:val="22"/>
          <w:szCs w:val="22"/>
        </w:rPr>
        <w:t>Terminate – risks are avoided by doing something</w:t>
      </w:r>
      <w:r w:rsidRPr="00185D35">
        <w:rPr>
          <w:rFonts w:ascii="Calibri" w:hAnsi="Calibri"/>
          <w:spacing w:val="-9"/>
          <w:sz w:val="22"/>
          <w:szCs w:val="22"/>
        </w:rPr>
        <w:t xml:space="preserve"> </w:t>
      </w:r>
      <w:r w:rsidRPr="00185D35">
        <w:rPr>
          <w:rFonts w:ascii="Calibri" w:hAnsi="Calibri"/>
          <w:sz w:val="22"/>
          <w:szCs w:val="22"/>
        </w:rPr>
        <w:t>else</w:t>
      </w:r>
    </w:p>
    <w:p w14:paraId="78CD9660" w14:textId="77777777" w:rsidR="00185D35" w:rsidRPr="00185D35" w:rsidRDefault="00185D35" w:rsidP="00185D35">
      <w:pPr>
        <w:pStyle w:val="BodyText"/>
        <w:spacing w:before="10"/>
        <w:rPr>
          <w:rFonts w:ascii="Calibri" w:hAnsi="Calibri"/>
          <w:sz w:val="21"/>
        </w:rPr>
      </w:pPr>
    </w:p>
    <w:p w14:paraId="020EC8CE" w14:textId="77777777" w:rsidR="00185D35" w:rsidRPr="00185D35" w:rsidRDefault="00185D35" w:rsidP="00185D35">
      <w:pPr>
        <w:pStyle w:val="BodyText"/>
        <w:ind w:left="567" w:right="113" w:hanging="22"/>
        <w:jc w:val="both"/>
        <w:rPr>
          <w:rFonts w:ascii="Calibri" w:hAnsi="Calibri"/>
        </w:rPr>
      </w:pPr>
      <w:r w:rsidRPr="00185D35">
        <w:rPr>
          <w:rFonts w:ascii="Calibri" w:hAnsi="Calibri"/>
        </w:rPr>
        <w:t>Actions to mitigate or control a risk will have a direct cost or an opportunity cost that should be recorded in the risk register. The risk should be reassessed to identify the impact of any action on the net risk. The result of any control measure is known as the residual</w:t>
      </w:r>
      <w:r w:rsidRPr="00185D35">
        <w:rPr>
          <w:rFonts w:ascii="Calibri" w:hAnsi="Calibri"/>
          <w:spacing w:val="-20"/>
        </w:rPr>
        <w:t xml:space="preserve"> </w:t>
      </w:r>
      <w:r w:rsidRPr="00185D35">
        <w:rPr>
          <w:rFonts w:ascii="Calibri" w:hAnsi="Calibri"/>
        </w:rPr>
        <w:t>risk.</w:t>
      </w:r>
    </w:p>
    <w:p w14:paraId="0C3A37EB" w14:textId="77777777" w:rsidR="00185D35" w:rsidRPr="00185D35" w:rsidRDefault="00185D35" w:rsidP="00185D35">
      <w:pPr>
        <w:pStyle w:val="BodyText"/>
        <w:spacing w:before="10"/>
        <w:ind w:left="567"/>
        <w:rPr>
          <w:rFonts w:ascii="Calibri" w:hAnsi="Calibri"/>
          <w:sz w:val="21"/>
        </w:rPr>
      </w:pPr>
    </w:p>
    <w:p w14:paraId="307FE4E0"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Step 5 – Reviewing the risk</w:t>
      </w:r>
    </w:p>
    <w:p w14:paraId="357C402E" w14:textId="77777777" w:rsidR="00185D35" w:rsidRPr="00185D35" w:rsidRDefault="00185D35" w:rsidP="00185D35">
      <w:pPr>
        <w:pStyle w:val="BodyText"/>
        <w:spacing w:before="2"/>
        <w:ind w:left="567" w:right="115" w:hanging="22"/>
        <w:jc w:val="both"/>
        <w:rPr>
          <w:rFonts w:ascii="Calibri" w:hAnsi="Calibri"/>
        </w:rPr>
      </w:pPr>
      <w:r w:rsidRPr="00185D35">
        <w:rPr>
          <w:rFonts w:ascii="Calibri" w:hAnsi="Calibri"/>
        </w:rPr>
        <w:t>Risks should be reviewed on a regular basis to ensure that strategic and operational registers are kept up-to-date. At a University level, the register of strategic risk is reviewed and discussed at each meeting of Audit</w:t>
      </w:r>
      <w:r w:rsidRPr="00185D35">
        <w:rPr>
          <w:rFonts w:ascii="Calibri" w:hAnsi="Calibri"/>
          <w:spacing w:val="-1"/>
        </w:rPr>
        <w:t xml:space="preserve"> </w:t>
      </w:r>
      <w:r w:rsidRPr="00185D35">
        <w:rPr>
          <w:rFonts w:ascii="Calibri" w:hAnsi="Calibri"/>
        </w:rPr>
        <w:t>Committee.</w:t>
      </w:r>
    </w:p>
    <w:p w14:paraId="7AB6F4FE" w14:textId="77777777" w:rsidR="00185D35" w:rsidRPr="00185D35" w:rsidRDefault="00185D35" w:rsidP="00185D35">
      <w:pPr>
        <w:pStyle w:val="BodyText"/>
        <w:spacing w:before="7"/>
        <w:rPr>
          <w:rFonts w:ascii="Calibri" w:hAnsi="Calibri"/>
          <w:sz w:val="21"/>
        </w:rPr>
      </w:pPr>
    </w:p>
    <w:p w14:paraId="57E1B958" w14:textId="77777777" w:rsidR="00185D35" w:rsidRPr="00185D35" w:rsidRDefault="00185D35" w:rsidP="00185D35">
      <w:pPr>
        <w:pStyle w:val="Heading3"/>
        <w:numPr>
          <w:ilvl w:val="0"/>
          <w:numId w:val="24"/>
        </w:numPr>
        <w:tabs>
          <w:tab w:val="left" w:pos="838"/>
          <w:tab w:val="left" w:pos="839"/>
        </w:tabs>
        <w:ind w:left="567" w:hanging="567"/>
        <w:rPr>
          <w:rFonts w:ascii="Calibri" w:hAnsi="Calibri"/>
        </w:rPr>
      </w:pPr>
      <w:r w:rsidRPr="00185D35">
        <w:rPr>
          <w:rFonts w:ascii="Calibri" w:hAnsi="Calibri"/>
        </w:rPr>
        <w:t>Risk</w:t>
      </w:r>
      <w:r w:rsidRPr="00185D35">
        <w:rPr>
          <w:rFonts w:ascii="Calibri" w:hAnsi="Calibri"/>
          <w:spacing w:val="-1"/>
        </w:rPr>
        <w:t xml:space="preserve"> </w:t>
      </w:r>
      <w:r w:rsidRPr="00185D35">
        <w:rPr>
          <w:rFonts w:ascii="Calibri" w:hAnsi="Calibri"/>
        </w:rPr>
        <w:t>responsibilities</w:t>
      </w:r>
    </w:p>
    <w:p w14:paraId="09905597" w14:textId="77777777" w:rsidR="00185D35" w:rsidRPr="00185D35" w:rsidRDefault="00185D35" w:rsidP="00185D35">
      <w:pPr>
        <w:pStyle w:val="BodyText"/>
        <w:spacing w:before="5"/>
        <w:ind w:left="567" w:right="118" w:hanging="22"/>
        <w:jc w:val="both"/>
        <w:rPr>
          <w:rFonts w:ascii="Calibri" w:hAnsi="Calibri"/>
        </w:rPr>
      </w:pPr>
      <w:r w:rsidRPr="00185D35">
        <w:rPr>
          <w:rFonts w:ascii="Calibri" w:hAnsi="Calibri"/>
        </w:rPr>
        <w:t>It is essential that all participants in risk management are aware of their roles in the overall process and their own responsibilities. The key responsibilities are outlined below:</w:t>
      </w:r>
    </w:p>
    <w:p w14:paraId="0130358F" w14:textId="77777777" w:rsidR="00185D35" w:rsidRPr="00185D35" w:rsidRDefault="00185D35" w:rsidP="00185D35">
      <w:pPr>
        <w:pStyle w:val="BodyText"/>
        <w:spacing w:before="11"/>
        <w:rPr>
          <w:rFonts w:ascii="Calibri" w:hAnsi="Calibri"/>
          <w:sz w:val="21"/>
        </w:rPr>
      </w:pPr>
    </w:p>
    <w:p w14:paraId="31836F2A" w14:textId="77777777" w:rsidR="00185D35" w:rsidRPr="00185D35" w:rsidRDefault="00185D35" w:rsidP="00185D35">
      <w:pPr>
        <w:ind w:left="567"/>
        <w:jc w:val="both"/>
        <w:rPr>
          <w:rFonts w:ascii="Calibri" w:hAnsi="Calibri"/>
          <w:i/>
          <w:sz w:val="22"/>
          <w:szCs w:val="22"/>
        </w:rPr>
      </w:pPr>
      <w:r w:rsidRPr="00185D35">
        <w:rPr>
          <w:rFonts w:ascii="Calibri" w:hAnsi="Calibri"/>
          <w:i/>
          <w:sz w:val="22"/>
          <w:szCs w:val="22"/>
        </w:rPr>
        <w:t>University Court</w:t>
      </w:r>
    </w:p>
    <w:p w14:paraId="1A4C6B4A" w14:textId="77777777" w:rsidR="00185D35" w:rsidRPr="00185D35" w:rsidRDefault="00185D35" w:rsidP="00185D35">
      <w:pPr>
        <w:pStyle w:val="BodyText"/>
        <w:spacing w:before="1"/>
        <w:ind w:left="567" w:right="114"/>
        <w:jc w:val="both"/>
        <w:rPr>
          <w:rFonts w:ascii="Calibri" w:hAnsi="Calibri"/>
        </w:rPr>
      </w:pPr>
      <w:r w:rsidRPr="00185D35">
        <w:rPr>
          <w:rFonts w:ascii="Calibri" w:hAnsi="Calibri"/>
        </w:rPr>
        <w:t>The Court has a fundamental role to play in the management of risk and in setting an overall culture of risk management within the University. This includes:</w:t>
      </w:r>
    </w:p>
    <w:p w14:paraId="00BCAA60" w14:textId="77777777" w:rsidR="00185D35" w:rsidRPr="00185D35" w:rsidRDefault="00185D35" w:rsidP="00185D35">
      <w:pPr>
        <w:pStyle w:val="BodyText"/>
        <w:spacing w:before="1"/>
        <w:rPr>
          <w:rFonts w:ascii="Calibri" w:hAnsi="Calibri"/>
        </w:rPr>
      </w:pPr>
    </w:p>
    <w:p w14:paraId="60E0CE59"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line="237" w:lineRule="auto"/>
        <w:ind w:left="970" w:right="114" w:hanging="261"/>
        <w:contextualSpacing w:val="0"/>
        <w:rPr>
          <w:rFonts w:ascii="Calibri" w:hAnsi="Calibri"/>
          <w:sz w:val="22"/>
          <w:szCs w:val="22"/>
        </w:rPr>
      </w:pPr>
      <w:r w:rsidRPr="00185D35">
        <w:rPr>
          <w:rFonts w:ascii="Calibri" w:hAnsi="Calibri"/>
          <w:sz w:val="22"/>
          <w:szCs w:val="22"/>
        </w:rPr>
        <w:t>determining and reviewing the risk appetite of the University as a whole, and agreeing a risk appetite statement that is reviewed</w:t>
      </w:r>
      <w:r w:rsidRPr="00185D35">
        <w:rPr>
          <w:rFonts w:ascii="Calibri" w:hAnsi="Calibri"/>
          <w:spacing w:val="-9"/>
          <w:sz w:val="22"/>
          <w:szCs w:val="22"/>
        </w:rPr>
        <w:t xml:space="preserve"> </w:t>
      </w:r>
      <w:r w:rsidRPr="00185D35">
        <w:rPr>
          <w:rFonts w:ascii="Calibri" w:hAnsi="Calibri"/>
          <w:sz w:val="22"/>
          <w:szCs w:val="22"/>
        </w:rPr>
        <w:t>annually</w:t>
      </w:r>
    </w:p>
    <w:p w14:paraId="2B5907A3" w14:textId="77777777" w:rsidR="00185D35" w:rsidRPr="00185D35" w:rsidRDefault="00185D35" w:rsidP="00185D35">
      <w:pPr>
        <w:pStyle w:val="BodyText"/>
        <w:spacing w:before="1"/>
        <w:ind w:hanging="261"/>
        <w:rPr>
          <w:rFonts w:ascii="Calibri" w:hAnsi="Calibri"/>
        </w:rPr>
      </w:pPr>
    </w:p>
    <w:p w14:paraId="1186B0A4"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approving major decisions affecting the University’s risk profile or</w:t>
      </w:r>
      <w:r w:rsidRPr="00185D35">
        <w:rPr>
          <w:rFonts w:ascii="Calibri" w:hAnsi="Calibri"/>
          <w:spacing w:val="-13"/>
          <w:sz w:val="22"/>
          <w:szCs w:val="22"/>
        </w:rPr>
        <w:t xml:space="preserve"> </w:t>
      </w:r>
      <w:r w:rsidRPr="00185D35">
        <w:rPr>
          <w:rFonts w:ascii="Calibri" w:hAnsi="Calibri"/>
          <w:sz w:val="22"/>
          <w:szCs w:val="22"/>
        </w:rPr>
        <w:t>exposure</w:t>
      </w:r>
    </w:p>
    <w:p w14:paraId="77332E6F" w14:textId="77777777" w:rsidR="00185D35" w:rsidRPr="00185D35" w:rsidRDefault="00185D35" w:rsidP="00185D35">
      <w:pPr>
        <w:pStyle w:val="BodyText"/>
        <w:spacing w:before="9"/>
        <w:ind w:hanging="261"/>
        <w:rPr>
          <w:rFonts w:ascii="Calibri" w:hAnsi="Calibri"/>
        </w:rPr>
      </w:pPr>
    </w:p>
    <w:p w14:paraId="018954A2"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hanging="261"/>
        <w:contextualSpacing w:val="0"/>
        <w:rPr>
          <w:rFonts w:ascii="Calibri" w:hAnsi="Calibri"/>
          <w:sz w:val="22"/>
          <w:szCs w:val="22"/>
        </w:rPr>
      </w:pPr>
      <w:r w:rsidRPr="00185D35">
        <w:rPr>
          <w:rFonts w:ascii="Calibri" w:hAnsi="Calibri"/>
          <w:sz w:val="22"/>
          <w:szCs w:val="22"/>
        </w:rPr>
        <w:t>determining what types of risk are acceptable or not acceptable</w:t>
      </w:r>
    </w:p>
    <w:p w14:paraId="0C808B85" w14:textId="77777777" w:rsidR="00185D35" w:rsidRPr="00185D35" w:rsidRDefault="00185D35" w:rsidP="00185D35">
      <w:pPr>
        <w:pStyle w:val="BodyText"/>
        <w:spacing w:before="10"/>
        <w:rPr>
          <w:rFonts w:ascii="Calibri" w:hAnsi="Calibri"/>
        </w:rPr>
      </w:pPr>
    </w:p>
    <w:p w14:paraId="3A75176E"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Audit Committee</w:t>
      </w:r>
    </w:p>
    <w:p w14:paraId="39109916" w14:textId="77777777" w:rsidR="00185D35" w:rsidRPr="00185D35" w:rsidRDefault="00185D35" w:rsidP="00185D35">
      <w:pPr>
        <w:pStyle w:val="BodyText"/>
        <w:spacing w:before="2"/>
        <w:ind w:left="567"/>
        <w:jc w:val="both"/>
        <w:rPr>
          <w:rFonts w:ascii="Calibri" w:hAnsi="Calibri"/>
        </w:rPr>
      </w:pPr>
      <w:r w:rsidRPr="00185D35">
        <w:rPr>
          <w:rFonts w:ascii="Calibri" w:hAnsi="Calibri"/>
        </w:rPr>
        <w:t>Acting on behalf of Court, Audit Committee will:</w:t>
      </w:r>
    </w:p>
    <w:p w14:paraId="4CCDB31D" w14:textId="77777777" w:rsidR="00185D35" w:rsidRPr="00185D35" w:rsidRDefault="00185D35" w:rsidP="00185D35">
      <w:pPr>
        <w:pStyle w:val="BodyText"/>
        <w:spacing w:before="9"/>
        <w:rPr>
          <w:rFonts w:ascii="Calibri" w:hAnsi="Calibri"/>
        </w:rPr>
      </w:pPr>
    </w:p>
    <w:p w14:paraId="0A5D3C60"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monitor the management of key strategic</w:t>
      </w:r>
      <w:r w:rsidRPr="00185D35">
        <w:rPr>
          <w:rFonts w:ascii="Calibri" w:hAnsi="Calibri"/>
          <w:spacing w:val="-13"/>
          <w:sz w:val="22"/>
          <w:szCs w:val="22"/>
        </w:rPr>
        <w:t xml:space="preserve"> </w:t>
      </w:r>
      <w:r w:rsidRPr="00185D35">
        <w:rPr>
          <w:rFonts w:ascii="Calibri" w:hAnsi="Calibri"/>
          <w:sz w:val="22"/>
          <w:szCs w:val="22"/>
        </w:rPr>
        <w:t>risks</w:t>
      </w:r>
    </w:p>
    <w:p w14:paraId="35E1E460" w14:textId="77777777" w:rsidR="00185D35" w:rsidRPr="00185D35" w:rsidRDefault="00185D35" w:rsidP="00185D35">
      <w:pPr>
        <w:pStyle w:val="BodyText"/>
        <w:spacing w:before="9"/>
        <w:ind w:hanging="261"/>
        <w:rPr>
          <w:rFonts w:ascii="Calibri" w:hAnsi="Calibri"/>
        </w:rPr>
      </w:pPr>
    </w:p>
    <w:p w14:paraId="360304E0"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right="115" w:hanging="261"/>
        <w:contextualSpacing w:val="0"/>
        <w:rPr>
          <w:rFonts w:ascii="Calibri" w:hAnsi="Calibri"/>
          <w:sz w:val="22"/>
          <w:szCs w:val="22"/>
        </w:rPr>
      </w:pPr>
      <w:r w:rsidRPr="00185D35">
        <w:rPr>
          <w:rFonts w:ascii="Calibri" w:hAnsi="Calibri"/>
          <w:sz w:val="22"/>
          <w:szCs w:val="22"/>
        </w:rPr>
        <w:t>satisfy itself that less significant risks are being actively managed, with the appropriate controls in place and working</w:t>
      </w:r>
      <w:r w:rsidRPr="00185D35">
        <w:rPr>
          <w:rFonts w:ascii="Calibri" w:hAnsi="Calibri"/>
          <w:spacing w:val="-3"/>
          <w:sz w:val="22"/>
          <w:szCs w:val="22"/>
        </w:rPr>
        <w:t xml:space="preserve"> </w:t>
      </w:r>
      <w:r w:rsidRPr="00185D35">
        <w:rPr>
          <w:rFonts w:ascii="Calibri" w:hAnsi="Calibri"/>
          <w:sz w:val="22"/>
          <w:szCs w:val="22"/>
        </w:rPr>
        <w:t>effectively</w:t>
      </w:r>
    </w:p>
    <w:p w14:paraId="2CDEE296" w14:textId="77777777" w:rsidR="00185D35" w:rsidRPr="00185D35" w:rsidRDefault="00185D35" w:rsidP="00185D35">
      <w:pPr>
        <w:pStyle w:val="BodyText"/>
        <w:spacing w:before="1"/>
        <w:ind w:hanging="261"/>
        <w:rPr>
          <w:rFonts w:ascii="Calibri" w:hAnsi="Calibri"/>
        </w:rPr>
      </w:pPr>
    </w:p>
    <w:p w14:paraId="7DA76CD4"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line="237" w:lineRule="auto"/>
        <w:ind w:left="970" w:right="120" w:hanging="261"/>
        <w:contextualSpacing w:val="0"/>
        <w:rPr>
          <w:rFonts w:ascii="Calibri" w:hAnsi="Calibri"/>
          <w:sz w:val="22"/>
          <w:szCs w:val="22"/>
        </w:rPr>
      </w:pPr>
      <w:r w:rsidRPr="00185D35">
        <w:rPr>
          <w:rFonts w:ascii="Calibri" w:hAnsi="Calibri"/>
          <w:sz w:val="22"/>
          <w:szCs w:val="22"/>
        </w:rPr>
        <w:t>annually review the University’s approach to risk management, and approve changes or improvements to key elements of its processes and</w:t>
      </w:r>
      <w:r w:rsidRPr="00185D35">
        <w:rPr>
          <w:rFonts w:ascii="Calibri" w:hAnsi="Calibri"/>
          <w:spacing w:val="-10"/>
          <w:sz w:val="22"/>
          <w:szCs w:val="22"/>
        </w:rPr>
        <w:t xml:space="preserve"> </w:t>
      </w:r>
      <w:r w:rsidRPr="00185D35">
        <w:rPr>
          <w:rFonts w:ascii="Calibri" w:hAnsi="Calibri"/>
          <w:sz w:val="22"/>
          <w:szCs w:val="22"/>
        </w:rPr>
        <w:t>procedures</w:t>
      </w:r>
    </w:p>
    <w:p w14:paraId="1B070724" w14:textId="77777777" w:rsidR="00185D35" w:rsidRPr="00185D35" w:rsidRDefault="00185D35" w:rsidP="00185D35">
      <w:pPr>
        <w:pStyle w:val="BodyText"/>
        <w:spacing w:before="1"/>
        <w:ind w:hanging="261"/>
        <w:rPr>
          <w:rFonts w:ascii="Calibri" w:hAnsi="Calibri"/>
        </w:rPr>
      </w:pPr>
    </w:p>
    <w:p w14:paraId="77A9A8F2"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approve the internal audit plan which is linked to the Strategic Risk</w:t>
      </w:r>
      <w:r w:rsidRPr="00185D35">
        <w:rPr>
          <w:rFonts w:ascii="Calibri" w:hAnsi="Calibri"/>
          <w:spacing w:val="-12"/>
          <w:sz w:val="22"/>
          <w:szCs w:val="22"/>
        </w:rPr>
        <w:t xml:space="preserve"> </w:t>
      </w:r>
      <w:r w:rsidRPr="00185D35">
        <w:rPr>
          <w:rFonts w:ascii="Calibri" w:hAnsi="Calibri"/>
          <w:sz w:val="22"/>
          <w:szCs w:val="22"/>
        </w:rPr>
        <w:t>Register</w:t>
      </w:r>
    </w:p>
    <w:p w14:paraId="42C346F2" w14:textId="77777777" w:rsidR="00185D35" w:rsidRPr="00185D35" w:rsidRDefault="00185D35" w:rsidP="00185D35">
      <w:pPr>
        <w:pStyle w:val="BodyText"/>
        <w:spacing w:before="9"/>
        <w:ind w:hanging="261"/>
        <w:rPr>
          <w:rFonts w:ascii="Calibri" w:hAnsi="Calibri"/>
        </w:rPr>
      </w:pPr>
    </w:p>
    <w:p w14:paraId="588595A4"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hanging="261"/>
        <w:contextualSpacing w:val="0"/>
        <w:rPr>
          <w:rFonts w:ascii="Calibri" w:hAnsi="Calibri"/>
          <w:sz w:val="22"/>
          <w:szCs w:val="22"/>
        </w:rPr>
      </w:pPr>
      <w:r w:rsidRPr="00185D35">
        <w:rPr>
          <w:rFonts w:ascii="Calibri" w:hAnsi="Calibri"/>
          <w:sz w:val="22"/>
          <w:szCs w:val="22"/>
        </w:rPr>
        <w:t>report to Court on the effectiveness of risk management processes as</w:t>
      </w:r>
      <w:r w:rsidRPr="00185D35">
        <w:rPr>
          <w:rFonts w:ascii="Calibri" w:hAnsi="Calibri"/>
          <w:spacing w:val="-11"/>
          <w:sz w:val="22"/>
          <w:szCs w:val="22"/>
        </w:rPr>
        <w:t xml:space="preserve"> </w:t>
      </w:r>
      <w:r w:rsidRPr="00185D35">
        <w:rPr>
          <w:rFonts w:ascii="Calibri" w:hAnsi="Calibri"/>
          <w:sz w:val="22"/>
          <w:szCs w:val="22"/>
        </w:rPr>
        <w:t>appropriate</w:t>
      </w:r>
    </w:p>
    <w:p w14:paraId="17CAABB8" w14:textId="77777777" w:rsidR="00185D35" w:rsidRPr="00185D35" w:rsidRDefault="00185D35" w:rsidP="00185D35">
      <w:pPr>
        <w:pStyle w:val="BodyText"/>
        <w:spacing w:before="10"/>
        <w:rPr>
          <w:rFonts w:ascii="Calibri" w:hAnsi="Calibri"/>
        </w:rPr>
      </w:pPr>
    </w:p>
    <w:p w14:paraId="552A5DFA"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Executive Group</w:t>
      </w:r>
    </w:p>
    <w:p w14:paraId="55641922" w14:textId="77777777" w:rsidR="00185D35" w:rsidRPr="00185D35" w:rsidRDefault="00185D35" w:rsidP="00185D35">
      <w:pPr>
        <w:pStyle w:val="BodyText"/>
        <w:spacing w:before="2"/>
        <w:ind w:left="567"/>
        <w:jc w:val="both"/>
        <w:rPr>
          <w:rFonts w:ascii="Calibri" w:hAnsi="Calibri"/>
        </w:rPr>
      </w:pPr>
      <w:r w:rsidRPr="00185D35">
        <w:rPr>
          <w:rFonts w:ascii="Calibri" w:hAnsi="Calibri"/>
        </w:rPr>
        <w:t>The University Strategy and Policy Group (USPG) is responsible for strategic risks by:</w:t>
      </w:r>
    </w:p>
    <w:p w14:paraId="7C251AF8" w14:textId="77777777" w:rsidR="00185D35" w:rsidRPr="00185D35" w:rsidRDefault="00185D35" w:rsidP="00185D35">
      <w:pPr>
        <w:pStyle w:val="BodyText"/>
        <w:spacing w:before="9"/>
        <w:rPr>
          <w:rFonts w:ascii="Calibri" w:hAnsi="Calibri"/>
        </w:rPr>
      </w:pPr>
    </w:p>
    <w:p w14:paraId="36889255"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right="112" w:hanging="261"/>
        <w:contextualSpacing w:val="0"/>
        <w:rPr>
          <w:rFonts w:ascii="Calibri" w:hAnsi="Calibri"/>
          <w:sz w:val="22"/>
          <w:szCs w:val="22"/>
        </w:rPr>
      </w:pPr>
      <w:r w:rsidRPr="00185D35">
        <w:rPr>
          <w:rFonts w:ascii="Calibri" w:hAnsi="Calibri"/>
          <w:sz w:val="22"/>
          <w:szCs w:val="22"/>
        </w:rPr>
        <w:t>identifying and evaluating significant risks faced by the University for consideration by Court, via Audit</w:t>
      </w:r>
      <w:r w:rsidRPr="00185D35">
        <w:rPr>
          <w:rFonts w:ascii="Calibri" w:hAnsi="Calibri"/>
          <w:spacing w:val="-2"/>
          <w:sz w:val="22"/>
          <w:szCs w:val="22"/>
        </w:rPr>
        <w:t xml:space="preserve"> </w:t>
      </w:r>
      <w:r w:rsidRPr="00185D35">
        <w:rPr>
          <w:rFonts w:ascii="Calibri" w:hAnsi="Calibri"/>
          <w:sz w:val="22"/>
          <w:szCs w:val="22"/>
        </w:rPr>
        <w:t>Committee</w:t>
      </w:r>
    </w:p>
    <w:p w14:paraId="306292A2" w14:textId="77777777" w:rsidR="00185D35" w:rsidRPr="00185D35" w:rsidRDefault="00185D35" w:rsidP="00185D35">
      <w:pPr>
        <w:pStyle w:val="BodyText"/>
        <w:spacing w:before="11"/>
        <w:ind w:hanging="261"/>
        <w:rPr>
          <w:rFonts w:ascii="Calibri" w:hAnsi="Calibri"/>
        </w:rPr>
      </w:pPr>
    </w:p>
    <w:p w14:paraId="50A01CD4"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implementing policies on risk management and internal</w:t>
      </w:r>
      <w:r w:rsidRPr="00185D35">
        <w:rPr>
          <w:rFonts w:ascii="Calibri" w:hAnsi="Calibri"/>
          <w:spacing w:val="-4"/>
          <w:sz w:val="22"/>
          <w:szCs w:val="22"/>
        </w:rPr>
        <w:t xml:space="preserve"> </w:t>
      </w:r>
      <w:r w:rsidRPr="00185D35">
        <w:rPr>
          <w:rFonts w:ascii="Calibri" w:hAnsi="Calibri"/>
          <w:sz w:val="22"/>
          <w:szCs w:val="22"/>
        </w:rPr>
        <w:t>control</w:t>
      </w:r>
    </w:p>
    <w:p w14:paraId="297ED1E6" w14:textId="77777777" w:rsidR="00185D35" w:rsidRPr="00185D35" w:rsidRDefault="00185D35" w:rsidP="00185D35">
      <w:pPr>
        <w:ind w:hanging="261"/>
        <w:rPr>
          <w:rFonts w:ascii="Calibri" w:hAnsi="Calibri"/>
          <w:sz w:val="22"/>
          <w:szCs w:val="22"/>
        </w:rPr>
        <w:sectPr w:rsidR="00185D35" w:rsidRPr="00185D35">
          <w:pgSz w:w="11910" w:h="16840"/>
          <w:pgMar w:top="1580" w:right="1300" w:bottom="940" w:left="1300" w:header="0" w:footer="756" w:gutter="0"/>
          <w:cols w:space="720"/>
        </w:sectPr>
      </w:pPr>
    </w:p>
    <w:p w14:paraId="01473914"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79"/>
        <w:ind w:left="970" w:right="113" w:hanging="261"/>
        <w:contextualSpacing w:val="0"/>
        <w:rPr>
          <w:rFonts w:ascii="Calibri" w:hAnsi="Calibri"/>
          <w:sz w:val="22"/>
          <w:szCs w:val="22"/>
        </w:rPr>
      </w:pPr>
      <w:r w:rsidRPr="00185D35">
        <w:rPr>
          <w:rFonts w:ascii="Calibri" w:hAnsi="Calibri"/>
          <w:sz w:val="22"/>
          <w:szCs w:val="22"/>
        </w:rPr>
        <w:lastRenderedPageBreak/>
        <w:t>providing adequate information in a timely manner to Court, via Audit Committee, on the status of risks and control</w:t>
      </w:r>
      <w:r w:rsidRPr="00185D35">
        <w:rPr>
          <w:rFonts w:ascii="Calibri" w:hAnsi="Calibri"/>
          <w:spacing w:val="-5"/>
          <w:sz w:val="22"/>
          <w:szCs w:val="22"/>
        </w:rPr>
        <w:t xml:space="preserve"> </w:t>
      </w:r>
      <w:r w:rsidRPr="00185D35">
        <w:rPr>
          <w:rFonts w:ascii="Calibri" w:hAnsi="Calibri"/>
          <w:sz w:val="22"/>
          <w:szCs w:val="22"/>
        </w:rPr>
        <w:t>measures</w:t>
      </w:r>
    </w:p>
    <w:p w14:paraId="2465638C" w14:textId="77777777" w:rsidR="00185D35" w:rsidRPr="00185D35" w:rsidRDefault="00185D35" w:rsidP="00185D35">
      <w:pPr>
        <w:pStyle w:val="BodyText"/>
        <w:spacing w:before="9"/>
        <w:ind w:hanging="261"/>
        <w:rPr>
          <w:rFonts w:ascii="Calibri" w:hAnsi="Calibri"/>
        </w:rPr>
      </w:pPr>
    </w:p>
    <w:p w14:paraId="60A8BCF0"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regularly reviewing the effectiveness of internal</w:t>
      </w:r>
      <w:r w:rsidRPr="00185D35">
        <w:rPr>
          <w:rFonts w:ascii="Calibri" w:hAnsi="Calibri"/>
          <w:spacing w:val="1"/>
          <w:sz w:val="22"/>
          <w:szCs w:val="22"/>
        </w:rPr>
        <w:t xml:space="preserve"> </w:t>
      </w:r>
      <w:r w:rsidRPr="00185D35">
        <w:rPr>
          <w:rFonts w:ascii="Calibri" w:hAnsi="Calibri"/>
          <w:sz w:val="22"/>
          <w:szCs w:val="22"/>
        </w:rPr>
        <w:t>controls</w:t>
      </w:r>
    </w:p>
    <w:p w14:paraId="446528AE" w14:textId="77777777" w:rsidR="00185D35" w:rsidRPr="00185D35" w:rsidRDefault="00185D35" w:rsidP="00185D35">
      <w:pPr>
        <w:pStyle w:val="BodyText"/>
        <w:spacing w:before="9"/>
        <w:ind w:hanging="261"/>
        <w:rPr>
          <w:rFonts w:ascii="Calibri" w:hAnsi="Calibri"/>
        </w:rPr>
      </w:pPr>
    </w:p>
    <w:p w14:paraId="77D66324"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hanging="261"/>
        <w:contextualSpacing w:val="0"/>
        <w:rPr>
          <w:rFonts w:ascii="Calibri" w:hAnsi="Calibri"/>
          <w:sz w:val="22"/>
          <w:szCs w:val="22"/>
        </w:rPr>
      </w:pPr>
      <w:r w:rsidRPr="00185D35">
        <w:rPr>
          <w:rFonts w:ascii="Calibri" w:hAnsi="Calibri"/>
          <w:sz w:val="22"/>
          <w:szCs w:val="22"/>
        </w:rPr>
        <w:t>identifying and acting as risk owner for appropriate strategic</w:t>
      </w:r>
      <w:r w:rsidRPr="00185D35">
        <w:rPr>
          <w:rFonts w:ascii="Calibri" w:hAnsi="Calibri"/>
          <w:spacing w:val="-7"/>
          <w:sz w:val="22"/>
          <w:szCs w:val="22"/>
        </w:rPr>
        <w:t xml:space="preserve"> </w:t>
      </w:r>
      <w:r w:rsidRPr="00185D35">
        <w:rPr>
          <w:rFonts w:ascii="Calibri" w:hAnsi="Calibri"/>
          <w:sz w:val="22"/>
          <w:szCs w:val="22"/>
        </w:rPr>
        <w:t>risks</w:t>
      </w:r>
    </w:p>
    <w:p w14:paraId="76A6444D" w14:textId="77777777" w:rsidR="00185D35" w:rsidRPr="00185D35" w:rsidRDefault="00185D35" w:rsidP="00185D35">
      <w:pPr>
        <w:pStyle w:val="BodyText"/>
        <w:spacing w:before="10"/>
        <w:rPr>
          <w:rFonts w:ascii="Calibri" w:hAnsi="Calibri"/>
        </w:rPr>
      </w:pPr>
    </w:p>
    <w:p w14:paraId="63973149" w14:textId="77777777" w:rsidR="00185D35" w:rsidRPr="00185D35" w:rsidRDefault="00185D35" w:rsidP="00185D35">
      <w:pPr>
        <w:ind w:left="567"/>
        <w:jc w:val="both"/>
        <w:rPr>
          <w:rFonts w:ascii="Calibri" w:hAnsi="Calibri"/>
          <w:b/>
          <w:bCs/>
          <w:i/>
          <w:sz w:val="22"/>
          <w:szCs w:val="22"/>
        </w:rPr>
      </w:pPr>
      <w:r w:rsidRPr="00185D35">
        <w:rPr>
          <w:rFonts w:ascii="Calibri" w:hAnsi="Calibri"/>
          <w:b/>
          <w:bCs/>
          <w:i/>
          <w:sz w:val="22"/>
          <w:szCs w:val="22"/>
        </w:rPr>
        <w:t>Senior Management Team (SMT)</w:t>
      </w:r>
    </w:p>
    <w:p w14:paraId="3A4AAC57" w14:textId="51F67EAA" w:rsidR="00185D35" w:rsidRPr="00185D35" w:rsidRDefault="00797B69" w:rsidP="00185D35">
      <w:pPr>
        <w:pStyle w:val="BodyText"/>
        <w:spacing w:before="1"/>
        <w:ind w:left="567" w:right="115"/>
        <w:jc w:val="both"/>
        <w:rPr>
          <w:rFonts w:ascii="Calibri" w:hAnsi="Calibri"/>
        </w:rPr>
      </w:pPr>
      <w:r>
        <w:rPr>
          <w:rFonts w:ascii="Calibri" w:hAnsi="Calibri"/>
        </w:rPr>
        <w:t xml:space="preserve">Deans </w:t>
      </w:r>
      <w:r w:rsidR="00185D35" w:rsidRPr="00185D35">
        <w:rPr>
          <w:rFonts w:ascii="Calibri" w:hAnsi="Calibri"/>
        </w:rPr>
        <w:t xml:space="preserve">of </w:t>
      </w:r>
      <w:r>
        <w:rPr>
          <w:rFonts w:ascii="Calibri" w:hAnsi="Calibri"/>
        </w:rPr>
        <w:t xml:space="preserve">Faculties </w:t>
      </w:r>
      <w:r w:rsidR="00185D35" w:rsidRPr="00185D35">
        <w:rPr>
          <w:rFonts w:ascii="Calibri" w:hAnsi="Calibri"/>
        </w:rPr>
        <w:t xml:space="preserve">and service directors are responsible for identifying, assessing and monitoring risks at </w:t>
      </w:r>
      <w:r>
        <w:rPr>
          <w:rFonts w:ascii="Calibri" w:hAnsi="Calibri"/>
        </w:rPr>
        <w:t xml:space="preserve">faculty </w:t>
      </w:r>
      <w:r w:rsidR="00185D35" w:rsidRPr="00185D35">
        <w:rPr>
          <w:rFonts w:ascii="Calibri" w:hAnsi="Calibri"/>
        </w:rPr>
        <w:t>and service level. They will:</w:t>
      </w:r>
    </w:p>
    <w:p w14:paraId="5DC251E2" w14:textId="77777777" w:rsidR="00185D35" w:rsidRPr="00185D35" w:rsidRDefault="00185D35" w:rsidP="00185D35">
      <w:pPr>
        <w:pStyle w:val="BodyText"/>
        <w:spacing w:before="11"/>
        <w:rPr>
          <w:rFonts w:ascii="Calibri" w:hAnsi="Calibri"/>
        </w:rPr>
      </w:pPr>
    </w:p>
    <w:p w14:paraId="02CC217F" w14:textId="7217E67E"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disseminate good and appropriate risk practice within their</w:t>
      </w:r>
      <w:r w:rsidRPr="00185D35">
        <w:rPr>
          <w:rFonts w:ascii="Calibri" w:hAnsi="Calibri"/>
          <w:spacing w:val="-9"/>
          <w:sz w:val="22"/>
          <w:szCs w:val="22"/>
        </w:rPr>
        <w:t xml:space="preserve"> </w:t>
      </w:r>
      <w:r w:rsidR="00797B69">
        <w:rPr>
          <w:rFonts w:ascii="Calibri" w:hAnsi="Calibri"/>
          <w:spacing w:val="-9"/>
          <w:sz w:val="22"/>
          <w:szCs w:val="22"/>
        </w:rPr>
        <w:t>faculty</w:t>
      </w:r>
      <w:r w:rsidRPr="00185D35">
        <w:rPr>
          <w:rFonts w:ascii="Calibri" w:hAnsi="Calibri"/>
          <w:sz w:val="22"/>
          <w:szCs w:val="22"/>
        </w:rPr>
        <w:t>/service</w:t>
      </w:r>
    </w:p>
    <w:p w14:paraId="6C2DC92B" w14:textId="77777777" w:rsidR="00185D35" w:rsidRPr="00185D35" w:rsidRDefault="00185D35" w:rsidP="00185D35">
      <w:pPr>
        <w:pStyle w:val="BodyText"/>
        <w:spacing w:before="9"/>
        <w:ind w:hanging="261"/>
        <w:rPr>
          <w:rFonts w:ascii="Calibri" w:hAnsi="Calibri"/>
        </w:rPr>
      </w:pPr>
    </w:p>
    <w:p w14:paraId="338B7421" w14:textId="58F440A4"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hanging="261"/>
        <w:contextualSpacing w:val="0"/>
        <w:rPr>
          <w:rFonts w:ascii="Calibri" w:hAnsi="Calibri"/>
          <w:sz w:val="22"/>
          <w:szCs w:val="22"/>
        </w:rPr>
      </w:pPr>
      <w:r w:rsidRPr="00185D35">
        <w:rPr>
          <w:rFonts w:ascii="Calibri" w:hAnsi="Calibri"/>
          <w:sz w:val="22"/>
          <w:szCs w:val="22"/>
        </w:rPr>
        <w:t>identify, monitor and assess risk issues within their</w:t>
      </w:r>
      <w:r w:rsidRPr="00185D35">
        <w:rPr>
          <w:rFonts w:ascii="Calibri" w:hAnsi="Calibri"/>
          <w:spacing w:val="-3"/>
          <w:sz w:val="22"/>
          <w:szCs w:val="22"/>
        </w:rPr>
        <w:t xml:space="preserve"> </w:t>
      </w:r>
      <w:r w:rsidR="00797B69">
        <w:rPr>
          <w:rFonts w:ascii="Calibri" w:hAnsi="Calibri"/>
          <w:spacing w:val="-3"/>
          <w:sz w:val="22"/>
          <w:szCs w:val="22"/>
        </w:rPr>
        <w:t>faculty</w:t>
      </w:r>
      <w:r w:rsidRPr="00185D35">
        <w:rPr>
          <w:rFonts w:ascii="Calibri" w:hAnsi="Calibri"/>
          <w:sz w:val="22"/>
          <w:szCs w:val="22"/>
        </w:rPr>
        <w:t>/service</w:t>
      </w:r>
    </w:p>
    <w:p w14:paraId="07F2E9FD" w14:textId="77777777" w:rsidR="00185D35" w:rsidRPr="00185D35" w:rsidRDefault="00185D35" w:rsidP="00185D35">
      <w:pPr>
        <w:pStyle w:val="BodyText"/>
        <w:spacing w:before="9"/>
        <w:ind w:hanging="261"/>
        <w:rPr>
          <w:rFonts w:ascii="Calibri" w:hAnsi="Calibri"/>
        </w:rPr>
      </w:pPr>
    </w:p>
    <w:p w14:paraId="0D0733C7"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85D35">
        <w:rPr>
          <w:rFonts w:ascii="Calibri" w:hAnsi="Calibri"/>
          <w:sz w:val="22"/>
          <w:szCs w:val="22"/>
        </w:rPr>
        <w:t>monitor and discuss risk as a standing item on the agenda of</w:t>
      </w:r>
      <w:r w:rsidRPr="00185D35">
        <w:rPr>
          <w:rFonts w:ascii="Calibri" w:hAnsi="Calibri"/>
          <w:spacing w:val="-6"/>
          <w:sz w:val="22"/>
          <w:szCs w:val="22"/>
        </w:rPr>
        <w:t xml:space="preserve"> </w:t>
      </w:r>
      <w:r w:rsidRPr="00185D35">
        <w:rPr>
          <w:rFonts w:ascii="Calibri" w:hAnsi="Calibri"/>
          <w:sz w:val="22"/>
          <w:szCs w:val="22"/>
        </w:rPr>
        <w:t>SMT</w:t>
      </w:r>
    </w:p>
    <w:p w14:paraId="685A1ADA" w14:textId="77777777" w:rsidR="00185D35" w:rsidRPr="00185D35" w:rsidRDefault="00185D35" w:rsidP="00185D35">
      <w:pPr>
        <w:pStyle w:val="BodyText"/>
        <w:spacing w:before="11"/>
        <w:ind w:hanging="261"/>
        <w:rPr>
          <w:rFonts w:ascii="Calibri" w:hAnsi="Calibri"/>
        </w:rPr>
      </w:pPr>
    </w:p>
    <w:p w14:paraId="63C51AEC" w14:textId="77777777" w:rsidR="00185D35" w:rsidRPr="00185D35" w:rsidRDefault="00185D35" w:rsidP="00185D35">
      <w:pPr>
        <w:pStyle w:val="ListParagraph"/>
        <w:widowControl w:val="0"/>
        <w:numPr>
          <w:ilvl w:val="1"/>
          <w:numId w:val="24"/>
        </w:numPr>
        <w:tabs>
          <w:tab w:val="left" w:pos="970"/>
          <w:tab w:val="left" w:pos="971"/>
        </w:tabs>
        <w:autoSpaceDE w:val="0"/>
        <w:autoSpaceDN w:val="0"/>
        <w:ind w:left="970" w:right="112" w:hanging="261"/>
        <w:contextualSpacing w:val="0"/>
        <w:rPr>
          <w:rFonts w:ascii="Calibri" w:hAnsi="Calibri"/>
          <w:sz w:val="22"/>
          <w:szCs w:val="22"/>
        </w:rPr>
      </w:pPr>
      <w:r w:rsidRPr="00185D35">
        <w:rPr>
          <w:rFonts w:ascii="Calibri" w:hAnsi="Calibri"/>
          <w:sz w:val="22"/>
          <w:szCs w:val="22"/>
        </w:rPr>
        <w:t>report on risk and control issues in their annual Planning Statement, and review regularly as</w:t>
      </w:r>
      <w:r w:rsidRPr="00185D35">
        <w:rPr>
          <w:rFonts w:ascii="Calibri" w:hAnsi="Calibri"/>
          <w:spacing w:val="-3"/>
          <w:sz w:val="22"/>
          <w:szCs w:val="22"/>
        </w:rPr>
        <w:t xml:space="preserve"> </w:t>
      </w:r>
      <w:r w:rsidRPr="00185D35">
        <w:rPr>
          <w:rFonts w:ascii="Calibri" w:hAnsi="Calibri"/>
          <w:sz w:val="22"/>
          <w:szCs w:val="22"/>
        </w:rPr>
        <w:t>appropriate</w:t>
      </w:r>
    </w:p>
    <w:p w14:paraId="1BA6C7FF" w14:textId="77777777" w:rsidR="00185D35" w:rsidRPr="00185D35" w:rsidRDefault="00185D35" w:rsidP="00185D35">
      <w:pPr>
        <w:pStyle w:val="BodyText"/>
        <w:spacing w:before="8"/>
        <w:ind w:hanging="261"/>
        <w:rPr>
          <w:rFonts w:ascii="Calibri" w:hAnsi="Calibri"/>
        </w:rPr>
      </w:pPr>
    </w:p>
    <w:p w14:paraId="68534991" w14:textId="77777777" w:rsidR="00185D35" w:rsidRPr="00185D35" w:rsidRDefault="00185D35" w:rsidP="00185D35">
      <w:pPr>
        <w:pStyle w:val="ListParagraph"/>
        <w:widowControl w:val="0"/>
        <w:numPr>
          <w:ilvl w:val="1"/>
          <w:numId w:val="24"/>
        </w:numPr>
        <w:tabs>
          <w:tab w:val="left" w:pos="970"/>
          <w:tab w:val="left" w:pos="971"/>
        </w:tabs>
        <w:autoSpaceDE w:val="0"/>
        <w:autoSpaceDN w:val="0"/>
        <w:spacing w:before="1"/>
        <w:ind w:left="970" w:right="114" w:hanging="261"/>
        <w:contextualSpacing w:val="0"/>
        <w:rPr>
          <w:rFonts w:ascii="Calibri" w:hAnsi="Calibri"/>
          <w:sz w:val="22"/>
          <w:szCs w:val="22"/>
        </w:rPr>
      </w:pPr>
      <w:r w:rsidRPr="00185D35">
        <w:rPr>
          <w:rFonts w:ascii="Calibri" w:hAnsi="Calibri"/>
          <w:sz w:val="22"/>
          <w:szCs w:val="22"/>
        </w:rPr>
        <w:t>alert the risk management committee (USPG) to risks which may have strategic importance</w:t>
      </w:r>
    </w:p>
    <w:p w14:paraId="5E3A27E6" w14:textId="77777777" w:rsidR="00185D35" w:rsidRPr="00185D35" w:rsidRDefault="00185D35" w:rsidP="00185D35">
      <w:pPr>
        <w:pStyle w:val="BodyText"/>
        <w:spacing w:before="11"/>
        <w:rPr>
          <w:rFonts w:ascii="Calibri" w:hAnsi="Calibri"/>
        </w:rPr>
      </w:pPr>
    </w:p>
    <w:p w14:paraId="781995CB" w14:textId="77777777" w:rsidR="00185D35" w:rsidRPr="00185D35" w:rsidRDefault="00185D35" w:rsidP="00185D35">
      <w:pPr>
        <w:spacing w:line="252" w:lineRule="exact"/>
        <w:ind w:left="567"/>
        <w:jc w:val="both"/>
        <w:rPr>
          <w:rFonts w:ascii="Calibri" w:hAnsi="Calibri"/>
          <w:b/>
          <w:bCs/>
          <w:i/>
          <w:sz w:val="22"/>
          <w:szCs w:val="22"/>
        </w:rPr>
      </w:pPr>
      <w:r w:rsidRPr="00185D35">
        <w:rPr>
          <w:rFonts w:ascii="Calibri" w:hAnsi="Calibri"/>
          <w:b/>
          <w:bCs/>
          <w:i/>
          <w:sz w:val="22"/>
          <w:szCs w:val="22"/>
        </w:rPr>
        <w:t>Staff and students</w:t>
      </w:r>
    </w:p>
    <w:p w14:paraId="08947487" w14:textId="056ACB79" w:rsidR="00185D35" w:rsidRPr="00185D35" w:rsidRDefault="00185D35" w:rsidP="00175E53">
      <w:pPr>
        <w:pStyle w:val="BodyText"/>
        <w:ind w:left="567" w:right="114"/>
        <w:jc w:val="both"/>
        <w:rPr>
          <w:rFonts w:ascii="Calibri" w:hAnsi="Calibri"/>
        </w:rPr>
      </w:pPr>
      <w:r w:rsidRPr="00185D35">
        <w:rPr>
          <w:rFonts w:ascii="Calibri" w:hAnsi="Calibri"/>
        </w:rPr>
        <w:t xml:space="preserve">Effective risk management depends on the commitment and co-operation of all staff and students. All staff have a significant role in the management of risk, particularly within their own areas of control. </w:t>
      </w:r>
      <w:r w:rsidR="0098600B">
        <w:rPr>
          <w:rFonts w:ascii="Calibri" w:hAnsi="Calibri"/>
        </w:rPr>
        <w:t xml:space="preserve"> </w:t>
      </w:r>
      <w:r w:rsidR="00175E53" w:rsidRPr="004C0AA3">
        <w:rPr>
          <w:rFonts w:ascii="Calibri" w:hAnsi="Calibri"/>
        </w:rPr>
        <w:t>Students have the opportunity to participate in a</w:t>
      </w:r>
      <w:r w:rsidR="0098600B" w:rsidRPr="004C0AA3">
        <w:rPr>
          <w:rFonts w:ascii="Calibri" w:hAnsi="Calibri"/>
        </w:rPr>
        <w:t xml:space="preserve">nd </w:t>
      </w:r>
      <w:r w:rsidR="00175E53" w:rsidRPr="004C0AA3">
        <w:rPr>
          <w:rFonts w:ascii="Calibri" w:hAnsi="Calibri"/>
        </w:rPr>
        <w:t>contribute to the effective management of risk through f</w:t>
      </w:r>
      <w:r w:rsidR="0098600B" w:rsidRPr="004C0AA3">
        <w:rPr>
          <w:rFonts w:ascii="Calibri" w:hAnsi="Calibri"/>
        </w:rPr>
        <w:t>aculty governance arrangements, such as student and staff consultative groups.</w:t>
      </w:r>
      <w:r w:rsidR="0098600B">
        <w:rPr>
          <w:rFonts w:ascii="Calibri" w:hAnsi="Calibri"/>
        </w:rPr>
        <w:t xml:space="preserve">    </w:t>
      </w:r>
      <w:r w:rsidRPr="00185D35">
        <w:rPr>
          <w:rFonts w:ascii="Calibri" w:hAnsi="Calibri"/>
        </w:rPr>
        <w:t>Project managers and project teams are responsible for managing project-specific risk and will complete a project risk register to demonstrate that this is being done.</w:t>
      </w:r>
      <w:r w:rsidR="008E4390">
        <w:rPr>
          <w:rFonts w:ascii="Calibri" w:hAnsi="Calibri"/>
        </w:rPr>
        <w:t xml:space="preserve">  </w:t>
      </w:r>
    </w:p>
    <w:p w14:paraId="4247022F" w14:textId="77777777" w:rsidR="00185D35" w:rsidRPr="00185D35" w:rsidRDefault="00185D35" w:rsidP="00185D35">
      <w:pPr>
        <w:pStyle w:val="BodyText"/>
        <w:spacing w:before="10"/>
        <w:rPr>
          <w:rFonts w:ascii="Calibri" w:hAnsi="Calibri"/>
          <w:sz w:val="21"/>
        </w:rPr>
      </w:pPr>
    </w:p>
    <w:p w14:paraId="392BA62F" w14:textId="77777777" w:rsidR="00185D35" w:rsidRPr="00185D35" w:rsidRDefault="00185D35" w:rsidP="00185D35">
      <w:pPr>
        <w:pStyle w:val="Heading3"/>
        <w:numPr>
          <w:ilvl w:val="0"/>
          <w:numId w:val="24"/>
        </w:numPr>
        <w:tabs>
          <w:tab w:val="left" w:pos="839"/>
        </w:tabs>
        <w:ind w:left="567" w:hanging="425"/>
        <w:rPr>
          <w:rFonts w:ascii="Calibri" w:hAnsi="Calibri"/>
        </w:rPr>
      </w:pPr>
      <w:r w:rsidRPr="00185D35">
        <w:rPr>
          <w:rFonts w:ascii="Calibri" w:hAnsi="Calibri"/>
        </w:rPr>
        <w:t>Defining the risk</w:t>
      </w:r>
      <w:r w:rsidRPr="00185D35">
        <w:rPr>
          <w:rFonts w:ascii="Calibri" w:hAnsi="Calibri"/>
          <w:spacing w:val="-6"/>
        </w:rPr>
        <w:t xml:space="preserve"> </w:t>
      </w:r>
      <w:r w:rsidRPr="00185D35">
        <w:rPr>
          <w:rFonts w:ascii="Calibri" w:hAnsi="Calibri"/>
        </w:rPr>
        <w:t>appetite</w:t>
      </w:r>
    </w:p>
    <w:p w14:paraId="5A931C22" w14:textId="77777777" w:rsidR="00185D35" w:rsidRPr="00185D35" w:rsidRDefault="00185D35" w:rsidP="00185D35">
      <w:pPr>
        <w:pStyle w:val="BodyText"/>
        <w:spacing w:before="2"/>
        <w:ind w:left="567" w:right="115"/>
        <w:jc w:val="both"/>
        <w:rPr>
          <w:rFonts w:ascii="Calibri" w:hAnsi="Calibri"/>
        </w:rPr>
      </w:pPr>
      <w:r w:rsidRPr="00185D35">
        <w:rPr>
          <w:rFonts w:ascii="Calibri" w:hAnsi="Calibri"/>
        </w:rPr>
        <w:t>The University Court determines the extent to which the University is “risk-taking” or “risk- averse”. The evaluation of the University’s strategic risks via Audit Committee provides a regular review of the University’s risk tolerance line.</w:t>
      </w:r>
    </w:p>
    <w:p w14:paraId="58AB33FE" w14:textId="77777777" w:rsidR="00185D35" w:rsidRPr="00185D35" w:rsidRDefault="00185D35" w:rsidP="00185D35">
      <w:pPr>
        <w:pStyle w:val="BodyText"/>
        <w:spacing w:before="10"/>
        <w:rPr>
          <w:rFonts w:ascii="Calibri" w:hAnsi="Calibri"/>
          <w:sz w:val="21"/>
        </w:rPr>
      </w:pPr>
    </w:p>
    <w:p w14:paraId="3AF689D7" w14:textId="77777777" w:rsidR="00185D35" w:rsidRPr="00185D35" w:rsidRDefault="00185D35" w:rsidP="00185D35">
      <w:pPr>
        <w:pStyle w:val="Heading3"/>
        <w:numPr>
          <w:ilvl w:val="0"/>
          <w:numId w:val="24"/>
        </w:numPr>
        <w:tabs>
          <w:tab w:val="left" w:pos="839"/>
        </w:tabs>
        <w:spacing w:line="275" w:lineRule="exact"/>
        <w:ind w:left="567" w:hanging="425"/>
        <w:rPr>
          <w:rFonts w:ascii="Calibri" w:hAnsi="Calibri"/>
          <w:sz w:val="24"/>
        </w:rPr>
      </w:pPr>
      <w:r w:rsidRPr="00185D35">
        <w:rPr>
          <w:rFonts w:ascii="Calibri" w:hAnsi="Calibri"/>
        </w:rPr>
        <w:t>Management of</w:t>
      </w:r>
      <w:r w:rsidRPr="00185D35">
        <w:rPr>
          <w:rFonts w:ascii="Calibri" w:hAnsi="Calibri"/>
          <w:spacing w:val="-1"/>
        </w:rPr>
        <w:t xml:space="preserve"> </w:t>
      </w:r>
      <w:r w:rsidRPr="00185D35">
        <w:rPr>
          <w:rFonts w:ascii="Calibri" w:hAnsi="Calibri"/>
        </w:rPr>
        <w:t>risk</w:t>
      </w:r>
    </w:p>
    <w:p w14:paraId="1F12CC88" w14:textId="77777777" w:rsidR="00185D35" w:rsidRPr="00185D35" w:rsidRDefault="00185D35" w:rsidP="00185D35">
      <w:pPr>
        <w:pStyle w:val="BodyText"/>
        <w:ind w:left="567" w:right="114"/>
        <w:jc w:val="both"/>
        <w:rPr>
          <w:rFonts w:ascii="Calibri" w:hAnsi="Calibri"/>
        </w:rPr>
      </w:pPr>
      <w:r w:rsidRPr="00185D35">
        <w:rPr>
          <w:rFonts w:ascii="Calibri" w:hAnsi="Calibri"/>
        </w:rPr>
        <w:t>The management of risk is supported by a system of internal control, and is closely related to the planning and budgeting process and institutional performance management. This enables the University to respond to a variety of operational, financial, reputational and commercial risks. The elements of this system</w:t>
      </w:r>
      <w:r w:rsidRPr="00185D35">
        <w:rPr>
          <w:rFonts w:ascii="Calibri" w:hAnsi="Calibri"/>
          <w:spacing w:val="-7"/>
        </w:rPr>
        <w:t xml:space="preserve"> </w:t>
      </w:r>
      <w:r w:rsidRPr="00185D35">
        <w:rPr>
          <w:rFonts w:ascii="Calibri" w:hAnsi="Calibri"/>
        </w:rPr>
        <w:t>include:</w:t>
      </w:r>
    </w:p>
    <w:p w14:paraId="2F3D4590" w14:textId="77777777" w:rsidR="00185D35" w:rsidRPr="00185D35" w:rsidRDefault="00185D35" w:rsidP="00185D35">
      <w:pPr>
        <w:pStyle w:val="BodyText"/>
        <w:spacing w:before="10"/>
        <w:ind w:left="567"/>
        <w:rPr>
          <w:rFonts w:ascii="Calibri" w:hAnsi="Calibri"/>
        </w:rPr>
      </w:pPr>
    </w:p>
    <w:p w14:paraId="5CA27C14" w14:textId="77777777" w:rsidR="00185D35" w:rsidRPr="00185D35" w:rsidRDefault="00185D35" w:rsidP="00185D35">
      <w:pPr>
        <w:spacing w:line="252" w:lineRule="exact"/>
        <w:ind w:left="567"/>
        <w:jc w:val="both"/>
        <w:rPr>
          <w:rFonts w:ascii="Calibri" w:hAnsi="Calibri"/>
          <w:i/>
          <w:sz w:val="22"/>
          <w:szCs w:val="22"/>
        </w:rPr>
      </w:pPr>
      <w:r w:rsidRPr="00185D35">
        <w:rPr>
          <w:rFonts w:ascii="Calibri" w:hAnsi="Calibri"/>
          <w:i/>
          <w:sz w:val="22"/>
          <w:szCs w:val="22"/>
        </w:rPr>
        <w:t>Policies and procedures</w:t>
      </w:r>
    </w:p>
    <w:p w14:paraId="607EF224" w14:textId="77777777" w:rsidR="00185D35" w:rsidRPr="00185D35" w:rsidRDefault="00185D35" w:rsidP="00185D35">
      <w:pPr>
        <w:pStyle w:val="BodyText"/>
        <w:ind w:left="567" w:right="116"/>
        <w:jc w:val="both"/>
        <w:rPr>
          <w:rFonts w:ascii="Calibri" w:hAnsi="Calibri"/>
        </w:rPr>
      </w:pPr>
      <w:r w:rsidRPr="00185D35">
        <w:rPr>
          <w:rFonts w:ascii="Calibri" w:hAnsi="Calibri"/>
        </w:rPr>
        <w:t>Attached to significant risks are a series of policies that underpin the internal control process. These policies are approved by Court and are supported by written procedures where appropriate.</w:t>
      </w:r>
    </w:p>
    <w:p w14:paraId="011C37FB" w14:textId="77777777" w:rsidR="00185D35" w:rsidRPr="00185D35" w:rsidRDefault="00185D35" w:rsidP="00185D35">
      <w:pPr>
        <w:pStyle w:val="BodyText"/>
        <w:spacing w:before="1"/>
        <w:ind w:left="567"/>
        <w:rPr>
          <w:rFonts w:ascii="Calibri" w:hAnsi="Calibri"/>
        </w:rPr>
      </w:pPr>
    </w:p>
    <w:p w14:paraId="741CC50D" w14:textId="77777777" w:rsidR="00175E53" w:rsidRDefault="00175E53" w:rsidP="00185D35">
      <w:pPr>
        <w:spacing w:line="252" w:lineRule="exact"/>
        <w:ind w:left="567"/>
        <w:rPr>
          <w:rFonts w:ascii="Calibri" w:hAnsi="Calibri"/>
          <w:i/>
          <w:sz w:val="22"/>
          <w:szCs w:val="22"/>
        </w:rPr>
      </w:pPr>
    </w:p>
    <w:p w14:paraId="329C570D" w14:textId="67604AA7" w:rsidR="00185D35" w:rsidRPr="00185D35" w:rsidRDefault="00185D35" w:rsidP="00185D35">
      <w:pPr>
        <w:spacing w:line="252" w:lineRule="exact"/>
        <w:ind w:left="567"/>
        <w:rPr>
          <w:rFonts w:ascii="Calibri" w:hAnsi="Calibri"/>
          <w:i/>
          <w:sz w:val="22"/>
          <w:szCs w:val="22"/>
        </w:rPr>
      </w:pPr>
      <w:r w:rsidRPr="00185D35">
        <w:rPr>
          <w:rFonts w:ascii="Calibri" w:hAnsi="Calibri"/>
          <w:i/>
          <w:sz w:val="22"/>
          <w:szCs w:val="22"/>
        </w:rPr>
        <w:t>Reporting</w:t>
      </w:r>
    </w:p>
    <w:p w14:paraId="32C45069" w14:textId="77777777" w:rsidR="00185D35" w:rsidRPr="00185D35" w:rsidRDefault="00185D35" w:rsidP="00185D35">
      <w:pPr>
        <w:pStyle w:val="BodyText"/>
        <w:ind w:left="567" w:right="116"/>
        <w:jc w:val="both"/>
        <w:rPr>
          <w:rFonts w:ascii="Calibri" w:hAnsi="Calibri"/>
        </w:rPr>
      </w:pPr>
      <w:r w:rsidRPr="00185D35">
        <w:rPr>
          <w:rFonts w:ascii="Calibri" w:hAnsi="Calibri"/>
        </w:rPr>
        <w:t xml:space="preserve">Strategic risks are reported regularly </w:t>
      </w:r>
      <w:r w:rsidRPr="00185D35">
        <w:rPr>
          <w:rFonts w:ascii="Calibri" w:hAnsi="Calibri"/>
          <w:spacing w:val="2"/>
        </w:rPr>
        <w:t xml:space="preserve">to </w:t>
      </w:r>
      <w:r w:rsidRPr="00185D35">
        <w:rPr>
          <w:rFonts w:ascii="Calibri" w:hAnsi="Calibri"/>
        </w:rPr>
        <w:t xml:space="preserve">Audit Committee via the risk register or on an </w:t>
      </w:r>
      <w:r w:rsidRPr="00185D35">
        <w:rPr>
          <w:rFonts w:ascii="Calibri" w:hAnsi="Calibri"/>
        </w:rPr>
        <w:lastRenderedPageBreak/>
        <w:t>‘exception’ basis as required, for example, on risks associated with new projects, or on emergent external</w:t>
      </w:r>
      <w:r w:rsidRPr="00185D35">
        <w:rPr>
          <w:rFonts w:ascii="Calibri" w:hAnsi="Calibri"/>
          <w:spacing w:val="-2"/>
        </w:rPr>
        <w:t xml:space="preserve"> </w:t>
      </w:r>
      <w:r w:rsidRPr="00185D35">
        <w:rPr>
          <w:rFonts w:ascii="Calibri" w:hAnsi="Calibri"/>
        </w:rPr>
        <w:t>risks.</w:t>
      </w:r>
    </w:p>
    <w:p w14:paraId="304DA473" w14:textId="77777777" w:rsidR="00185D35" w:rsidRPr="00185D35" w:rsidRDefault="00185D35" w:rsidP="00185D35">
      <w:pPr>
        <w:pStyle w:val="BodyText"/>
        <w:spacing w:before="1"/>
        <w:ind w:left="567"/>
        <w:rPr>
          <w:rFonts w:ascii="Calibri" w:hAnsi="Calibri"/>
        </w:rPr>
      </w:pPr>
    </w:p>
    <w:p w14:paraId="2DAA98DF" w14:textId="77777777" w:rsidR="00185D35" w:rsidRPr="00185D35" w:rsidRDefault="00185D35" w:rsidP="00185D35">
      <w:pPr>
        <w:spacing w:line="252" w:lineRule="exact"/>
        <w:ind w:left="567"/>
        <w:rPr>
          <w:rFonts w:ascii="Calibri" w:hAnsi="Calibri"/>
          <w:i/>
          <w:sz w:val="22"/>
          <w:szCs w:val="22"/>
        </w:rPr>
      </w:pPr>
      <w:r w:rsidRPr="00185D35">
        <w:rPr>
          <w:rFonts w:ascii="Calibri" w:hAnsi="Calibri"/>
          <w:i/>
          <w:sz w:val="22"/>
          <w:szCs w:val="22"/>
        </w:rPr>
        <w:t>Planning and</w:t>
      </w:r>
      <w:r w:rsidRPr="00185D35">
        <w:rPr>
          <w:rFonts w:ascii="Calibri" w:hAnsi="Calibri"/>
          <w:i/>
          <w:spacing w:val="-4"/>
          <w:sz w:val="22"/>
          <w:szCs w:val="22"/>
        </w:rPr>
        <w:t xml:space="preserve"> </w:t>
      </w:r>
      <w:r w:rsidRPr="00185D35">
        <w:rPr>
          <w:rFonts w:ascii="Calibri" w:hAnsi="Calibri"/>
          <w:i/>
          <w:sz w:val="22"/>
          <w:szCs w:val="22"/>
        </w:rPr>
        <w:t>Budgeting</w:t>
      </w:r>
    </w:p>
    <w:p w14:paraId="231FF65F" w14:textId="4F7C1C8E" w:rsidR="00185D35" w:rsidRPr="00185D35" w:rsidRDefault="00185D35" w:rsidP="00175E53">
      <w:pPr>
        <w:pStyle w:val="BodyText"/>
        <w:ind w:left="567" w:right="112"/>
        <w:jc w:val="both"/>
        <w:rPr>
          <w:rFonts w:ascii="Calibri" w:hAnsi="Calibri"/>
        </w:rPr>
      </w:pPr>
      <w:r w:rsidRPr="00185D35">
        <w:rPr>
          <w:rFonts w:ascii="Calibri" w:hAnsi="Calibri"/>
        </w:rPr>
        <w:t>The annual planning and budgeting process is used to set objectives, agree action plans and allocate resources. Schools and service areas are responsible for updating their planning</w:t>
      </w:r>
      <w:r w:rsidR="00175E53">
        <w:rPr>
          <w:rFonts w:ascii="Calibri" w:hAnsi="Calibri"/>
        </w:rPr>
        <w:t xml:space="preserve"> </w:t>
      </w:r>
      <w:r w:rsidRPr="00185D35">
        <w:rPr>
          <w:rFonts w:ascii="Calibri" w:hAnsi="Calibri"/>
        </w:rPr>
        <w:t>statements and associated risk registers and performance measures as part of this process. Progress towards meeting planned objectives is monitored regularly by the senior management team.</w:t>
      </w:r>
    </w:p>
    <w:p w14:paraId="1C3B53B9" w14:textId="77777777" w:rsidR="00185D35" w:rsidRPr="00185D35" w:rsidRDefault="00185D35" w:rsidP="00185D35">
      <w:pPr>
        <w:pStyle w:val="BodyText"/>
        <w:spacing w:before="1"/>
        <w:ind w:left="567"/>
        <w:rPr>
          <w:rFonts w:ascii="Calibri" w:hAnsi="Calibri"/>
        </w:rPr>
      </w:pPr>
    </w:p>
    <w:p w14:paraId="2B079AB1" w14:textId="77777777" w:rsidR="00185D35" w:rsidRPr="00185D35" w:rsidRDefault="00185D35" w:rsidP="00185D35">
      <w:pPr>
        <w:spacing w:line="252" w:lineRule="exact"/>
        <w:ind w:left="567"/>
        <w:jc w:val="both"/>
        <w:rPr>
          <w:rFonts w:ascii="Calibri" w:hAnsi="Calibri"/>
          <w:i/>
          <w:sz w:val="22"/>
          <w:szCs w:val="22"/>
        </w:rPr>
      </w:pPr>
      <w:r w:rsidRPr="00185D35">
        <w:rPr>
          <w:rFonts w:ascii="Calibri" w:hAnsi="Calibri"/>
          <w:i/>
          <w:sz w:val="22"/>
          <w:szCs w:val="22"/>
        </w:rPr>
        <w:t>Risk Framework</w:t>
      </w:r>
    </w:p>
    <w:p w14:paraId="5DC63627" w14:textId="77777777" w:rsidR="00185D35" w:rsidRPr="00185D35" w:rsidRDefault="00185D35" w:rsidP="00185D35">
      <w:pPr>
        <w:pStyle w:val="BodyText"/>
        <w:ind w:left="567" w:right="111"/>
        <w:jc w:val="both"/>
        <w:rPr>
          <w:rFonts w:ascii="Calibri" w:hAnsi="Calibri"/>
        </w:rPr>
      </w:pPr>
      <w:r w:rsidRPr="00185D35">
        <w:rPr>
          <w:rFonts w:ascii="Calibri" w:hAnsi="Calibri"/>
        </w:rPr>
        <w:t>The register of strategic risks is reviewed by the risk management committee (USPG) and is used to identify, assess and monitor risks significant to the University. Improvement actions and risk indicators are monitored regularly.</w:t>
      </w:r>
    </w:p>
    <w:p w14:paraId="1818610E" w14:textId="77777777" w:rsidR="00185D35" w:rsidRPr="00185D35" w:rsidRDefault="00185D35" w:rsidP="00185D35">
      <w:pPr>
        <w:pStyle w:val="BodyText"/>
        <w:ind w:left="567"/>
        <w:rPr>
          <w:rFonts w:ascii="Calibri" w:hAnsi="Calibri"/>
        </w:rPr>
      </w:pPr>
    </w:p>
    <w:p w14:paraId="7A502103" w14:textId="77777777" w:rsidR="00185D35" w:rsidRPr="00185D35" w:rsidRDefault="00185D35" w:rsidP="00185D35">
      <w:pPr>
        <w:spacing w:before="1" w:line="252" w:lineRule="exact"/>
        <w:ind w:left="567"/>
        <w:jc w:val="both"/>
        <w:rPr>
          <w:rFonts w:ascii="Calibri" w:hAnsi="Calibri"/>
          <w:i/>
          <w:sz w:val="22"/>
          <w:szCs w:val="22"/>
        </w:rPr>
      </w:pPr>
      <w:r w:rsidRPr="00185D35">
        <w:rPr>
          <w:rFonts w:ascii="Calibri" w:hAnsi="Calibri"/>
          <w:i/>
          <w:sz w:val="22"/>
          <w:szCs w:val="22"/>
        </w:rPr>
        <w:t>Audit Committee</w:t>
      </w:r>
    </w:p>
    <w:p w14:paraId="6F0F6281" w14:textId="77777777" w:rsidR="00185D35" w:rsidRPr="00185D35" w:rsidRDefault="00185D35" w:rsidP="00185D35">
      <w:pPr>
        <w:pStyle w:val="BodyText"/>
        <w:ind w:left="567" w:right="113"/>
        <w:jc w:val="both"/>
        <w:rPr>
          <w:rFonts w:ascii="Calibri" w:hAnsi="Calibri"/>
        </w:rPr>
      </w:pPr>
      <w:r w:rsidRPr="00185D35">
        <w:rPr>
          <w:rFonts w:ascii="Calibri" w:hAnsi="Calibri"/>
        </w:rPr>
        <w:t>Audit Committee is required to report to Court on internal controls and inform Court about any emerging issues. In addition, Audit Committee oversees internal audit, external audit and management as required in its review of internal controls. Audit Committee will advise Court on the effectiveness of the risk management and internal control</w:t>
      </w:r>
      <w:r w:rsidRPr="00185D35">
        <w:rPr>
          <w:rFonts w:ascii="Calibri" w:hAnsi="Calibri"/>
          <w:spacing w:val="-12"/>
        </w:rPr>
        <w:t xml:space="preserve"> </w:t>
      </w:r>
      <w:r w:rsidRPr="00185D35">
        <w:rPr>
          <w:rFonts w:ascii="Calibri" w:hAnsi="Calibri"/>
        </w:rPr>
        <w:t>systems.</w:t>
      </w:r>
    </w:p>
    <w:p w14:paraId="3C42D6CA" w14:textId="77777777" w:rsidR="00185D35" w:rsidRPr="00185D35" w:rsidRDefault="00185D35" w:rsidP="00185D35">
      <w:pPr>
        <w:pStyle w:val="BodyText"/>
        <w:spacing w:before="10"/>
        <w:rPr>
          <w:rFonts w:ascii="Calibri" w:hAnsi="Calibri"/>
          <w:sz w:val="21"/>
        </w:rPr>
      </w:pPr>
    </w:p>
    <w:p w14:paraId="6B36DAD2" w14:textId="77777777" w:rsidR="00185D35" w:rsidRPr="00185D35" w:rsidRDefault="00185D35" w:rsidP="00185D35">
      <w:pPr>
        <w:spacing w:before="1"/>
        <w:ind w:left="567"/>
        <w:jc w:val="both"/>
        <w:rPr>
          <w:rFonts w:ascii="Calibri" w:hAnsi="Calibri"/>
          <w:i/>
          <w:sz w:val="22"/>
          <w:szCs w:val="22"/>
        </w:rPr>
      </w:pPr>
      <w:r w:rsidRPr="00185D35">
        <w:rPr>
          <w:rFonts w:ascii="Calibri" w:hAnsi="Calibri"/>
          <w:i/>
          <w:sz w:val="22"/>
          <w:szCs w:val="22"/>
        </w:rPr>
        <w:t>Internal audit</w:t>
      </w:r>
    </w:p>
    <w:p w14:paraId="3275A985" w14:textId="77777777" w:rsidR="00185D35" w:rsidRPr="00185D35" w:rsidRDefault="00185D35" w:rsidP="00185D35">
      <w:pPr>
        <w:pStyle w:val="BodyText"/>
        <w:spacing w:before="2"/>
        <w:ind w:left="567" w:right="119"/>
        <w:jc w:val="both"/>
        <w:rPr>
          <w:rFonts w:ascii="Calibri" w:hAnsi="Calibri"/>
        </w:rPr>
      </w:pPr>
      <w:r w:rsidRPr="00185D35">
        <w:rPr>
          <w:rFonts w:ascii="Calibri" w:hAnsi="Calibri"/>
        </w:rPr>
        <w:t>Internal audit is responsible for aspects of the annual review of the effectiveness of the internal control system within the University. The internal audit strategy will be developed around the University’s strategic objectives and is informed by the register of strategic risk.</w:t>
      </w:r>
    </w:p>
    <w:p w14:paraId="66F51746" w14:textId="77777777" w:rsidR="00185D35" w:rsidRPr="00185D35" w:rsidRDefault="00185D35" w:rsidP="00185D35">
      <w:pPr>
        <w:pStyle w:val="BodyText"/>
        <w:spacing w:before="9"/>
        <w:ind w:left="567"/>
        <w:rPr>
          <w:rFonts w:ascii="Calibri" w:hAnsi="Calibri"/>
        </w:rPr>
      </w:pPr>
    </w:p>
    <w:p w14:paraId="638ACEF7" w14:textId="77777777" w:rsidR="00185D35" w:rsidRPr="00185D35" w:rsidRDefault="00185D35" w:rsidP="00185D35">
      <w:pPr>
        <w:spacing w:before="1"/>
        <w:ind w:left="567"/>
        <w:jc w:val="both"/>
        <w:rPr>
          <w:rFonts w:ascii="Calibri" w:hAnsi="Calibri"/>
          <w:i/>
          <w:sz w:val="22"/>
          <w:szCs w:val="22"/>
        </w:rPr>
      </w:pPr>
      <w:r w:rsidRPr="00185D35">
        <w:rPr>
          <w:rFonts w:ascii="Calibri" w:hAnsi="Calibri"/>
          <w:i/>
          <w:sz w:val="22"/>
          <w:szCs w:val="22"/>
        </w:rPr>
        <w:t>External audit</w:t>
      </w:r>
    </w:p>
    <w:p w14:paraId="5F32C134" w14:textId="77777777" w:rsidR="00185D35" w:rsidRPr="00185D35" w:rsidRDefault="00185D35" w:rsidP="00185D35">
      <w:pPr>
        <w:spacing w:before="1"/>
        <w:ind w:left="567" w:right="115"/>
        <w:jc w:val="both"/>
        <w:rPr>
          <w:rFonts w:ascii="Calibri" w:hAnsi="Calibri"/>
          <w:i/>
          <w:sz w:val="22"/>
          <w:szCs w:val="22"/>
        </w:rPr>
      </w:pPr>
      <w:r w:rsidRPr="00185D35">
        <w:rPr>
          <w:rFonts w:ascii="Calibri" w:hAnsi="Calibri"/>
          <w:sz w:val="22"/>
          <w:szCs w:val="22"/>
        </w:rPr>
        <w:t xml:space="preserve">External audit informs the Audit Committee on the operation of internal financial controls reviewed as part of the annual audit. </w:t>
      </w:r>
      <w:r w:rsidRPr="00185D35">
        <w:rPr>
          <w:rFonts w:ascii="Calibri" w:hAnsi="Calibri"/>
          <w:i/>
          <w:sz w:val="22"/>
          <w:szCs w:val="22"/>
        </w:rPr>
        <w:t>However, external audit is not part of the risk management process.</w:t>
      </w:r>
    </w:p>
    <w:p w14:paraId="392AE22D" w14:textId="77777777" w:rsidR="00185D35" w:rsidRPr="00185D35" w:rsidRDefault="00185D35" w:rsidP="00185D35">
      <w:pPr>
        <w:pStyle w:val="BodyText"/>
        <w:spacing w:before="10"/>
        <w:ind w:left="567"/>
        <w:rPr>
          <w:rFonts w:ascii="Calibri" w:hAnsi="Calibri"/>
          <w:i/>
        </w:rPr>
      </w:pPr>
    </w:p>
    <w:p w14:paraId="3D339C9C" w14:textId="77777777" w:rsidR="00185D35" w:rsidRPr="00185D35" w:rsidRDefault="00185D35" w:rsidP="00185D35">
      <w:pPr>
        <w:ind w:left="567"/>
        <w:jc w:val="both"/>
        <w:rPr>
          <w:rFonts w:ascii="Calibri" w:hAnsi="Calibri"/>
          <w:i/>
          <w:sz w:val="22"/>
          <w:szCs w:val="22"/>
        </w:rPr>
      </w:pPr>
      <w:r w:rsidRPr="00185D35">
        <w:rPr>
          <w:rFonts w:ascii="Calibri" w:hAnsi="Calibri"/>
          <w:i/>
          <w:sz w:val="22"/>
          <w:szCs w:val="22"/>
        </w:rPr>
        <w:t>Third Party Reports</w:t>
      </w:r>
    </w:p>
    <w:p w14:paraId="000BD25C" w14:textId="77777777" w:rsidR="00185D35" w:rsidRPr="00185D35" w:rsidRDefault="00185D35" w:rsidP="00185D35">
      <w:pPr>
        <w:pStyle w:val="BodyText"/>
        <w:spacing w:before="1"/>
        <w:ind w:left="567" w:right="116"/>
        <w:jc w:val="both"/>
        <w:rPr>
          <w:rFonts w:ascii="Calibri" w:hAnsi="Calibri"/>
        </w:rPr>
      </w:pPr>
      <w:r w:rsidRPr="00185D35">
        <w:rPr>
          <w:rFonts w:ascii="Calibri" w:hAnsi="Calibri"/>
        </w:rPr>
        <w:t>From time to time, the use of external consultants may be appropriate in areas such as health and safety (e.g. radiation protection adviser), and human resources. The use of specialist third parties for consulting and reporting can, in some cases, increase the reliability of the internal control</w:t>
      </w:r>
      <w:r w:rsidRPr="00185D35">
        <w:rPr>
          <w:rFonts w:ascii="Calibri" w:hAnsi="Calibri"/>
          <w:spacing w:val="-2"/>
        </w:rPr>
        <w:t xml:space="preserve"> </w:t>
      </w:r>
      <w:r w:rsidRPr="00185D35">
        <w:rPr>
          <w:rFonts w:ascii="Calibri" w:hAnsi="Calibri"/>
        </w:rPr>
        <w:t>system.</w:t>
      </w:r>
    </w:p>
    <w:p w14:paraId="6091C40C" w14:textId="77777777" w:rsidR="00185D35" w:rsidRPr="00185D35" w:rsidRDefault="00185D35" w:rsidP="00185D35">
      <w:pPr>
        <w:pStyle w:val="BodyText"/>
        <w:ind w:left="567"/>
        <w:rPr>
          <w:rFonts w:ascii="Calibri" w:hAnsi="Calibri"/>
        </w:rPr>
      </w:pPr>
    </w:p>
    <w:p w14:paraId="531AFC24" w14:textId="77777777" w:rsidR="00185D35" w:rsidRPr="00185D35" w:rsidRDefault="00185D35" w:rsidP="00185D35">
      <w:pPr>
        <w:spacing w:before="1" w:line="252" w:lineRule="exact"/>
        <w:ind w:left="567"/>
        <w:jc w:val="both"/>
        <w:rPr>
          <w:rFonts w:ascii="Calibri" w:hAnsi="Calibri"/>
          <w:i/>
          <w:sz w:val="22"/>
          <w:szCs w:val="22"/>
        </w:rPr>
      </w:pPr>
      <w:r w:rsidRPr="00185D35">
        <w:rPr>
          <w:rFonts w:ascii="Calibri" w:hAnsi="Calibri"/>
          <w:i/>
          <w:sz w:val="22"/>
          <w:szCs w:val="22"/>
        </w:rPr>
        <w:t>Operational Risk and Environmental Sustainability (OR &amp; ES)</w:t>
      </w:r>
    </w:p>
    <w:p w14:paraId="4D47DB40" w14:textId="77777777" w:rsidR="00185D35" w:rsidRPr="00185D35" w:rsidRDefault="00185D35" w:rsidP="00185D35">
      <w:pPr>
        <w:pStyle w:val="BodyText"/>
        <w:ind w:left="567" w:right="115"/>
        <w:jc w:val="both"/>
        <w:rPr>
          <w:rFonts w:ascii="Calibri" w:hAnsi="Calibri"/>
        </w:rPr>
      </w:pPr>
      <w:r w:rsidRPr="00185D35">
        <w:rPr>
          <w:rFonts w:ascii="Calibri" w:hAnsi="Calibri"/>
        </w:rPr>
        <w:t>The University has access to competent safety advice through the Head of OR &amp; ES, who advises the University on aspects of health and safety management and business continuity. The Head of OR &amp; ES reports operationally to the Director of Estates and Campus Services, but also has a reporting line to the University Secretary. Overall responsibility for ensuring that the University complies with health and safety legislation lies with the University Court.</w:t>
      </w:r>
    </w:p>
    <w:p w14:paraId="58B30ED9" w14:textId="77777777" w:rsidR="00185D35" w:rsidRPr="00185D35" w:rsidRDefault="00185D35" w:rsidP="00185D35">
      <w:pPr>
        <w:pStyle w:val="BodyText"/>
        <w:spacing w:before="9"/>
        <w:ind w:left="567"/>
        <w:rPr>
          <w:rFonts w:ascii="Calibri" w:hAnsi="Calibri"/>
        </w:rPr>
      </w:pPr>
    </w:p>
    <w:p w14:paraId="684D8A8C" w14:textId="77777777" w:rsidR="00185D35" w:rsidRPr="00185D35" w:rsidRDefault="00185D35" w:rsidP="00185D35">
      <w:pPr>
        <w:spacing w:before="1"/>
        <w:ind w:left="567"/>
        <w:jc w:val="both"/>
        <w:rPr>
          <w:rFonts w:ascii="Calibri" w:hAnsi="Calibri"/>
          <w:i/>
          <w:sz w:val="22"/>
          <w:szCs w:val="22"/>
        </w:rPr>
      </w:pPr>
      <w:r w:rsidRPr="00185D35">
        <w:rPr>
          <w:rFonts w:ascii="Calibri" w:hAnsi="Calibri"/>
          <w:i/>
          <w:sz w:val="22"/>
          <w:szCs w:val="22"/>
        </w:rPr>
        <w:t>Policy and Planning</w:t>
      </w:r>
    </w:p>
    <w:p w14:paraId="01C91666" w14:textId="77777777" w:rsidR="00185D35" w:rsidRPr="00185D35" w:rsidRDefault="00185D35" w:rsidP="00185D35">
      <w:pPr>
        <w:pStyle w:val="BodyText"/>
        <w:spacing w:before="1"/>
        <w:ind w:left="567" w:right="112"/>
        <w:jc w:val="both"/>
        <w:rPr>
          <w:rFonts w:ascii="Calibri" w:hAnsi="Calibri"/>
        </w:rPr>
      </w:pPr>
      <w:r w:rsidRPr="00185D35">
        <w:rPr>
          <w:rFonts w:ascii="Calibri" w:hAnsi="Calibri"/>
        </w:rPr>
        <w:t>The Policy and Planning team compiles risk issues, supports University staff in the assessment and management of risk, and reports emergent strategic risks as appropriate. The team also reviews operational risk registers from schools and service areas, identifies training needs and identifies emergent risks to be included within the register of strategic risk.</w:t>
      </w:r>
    </w:p>
    <w:p w14:paraId="1A6CEBFF" w14:textId="77777777" w:rsidR="00185D35" w:rsidRPr="00185D35" w:rsidRDefault="00185D35" w:rsidP="00185D35">
      <w:pPr>
        <w:pStyle w:val="BodyText"/>
        <w:spacing w:before="9"/>
        <w:rPr>
          <w:rFonts w:ascii="Calibri" w:hAnsi="Calibri"/>
          <w:sz w:val="21"/>
        </w:rPr>
      </w:pPr>
    </w:p>
    <w:p w14:paraId="5FA65E2B" w14:textId="77777777" w:rsidR="00185D35" w:rsidRPr="00185D35" w:rsidRDefault="00185D35" w:rsidP="00185D35">
      <w:pPr>
        <w:pStyle w:val="Heading3"/>
        <w:numPr>
          <w:ilvl w:val="0"/>
          <w:numId w:val="24"/>
        </w:numPr>
        <w:tabs>
          <w:tab w:val="left" w:pos="839"/>
        </w:tabs>
        <w:ind w:left="567" w:hanging="425"/>
        <w:rPr>
          <w:rFonts w:ascii="Calibri" w:hAnsi="Calibri"/>
        </w:rPr>
      </w:pPr>
      <w:r w:rsidRPr="00185D35">
        <w:rPr>
          <w:rFonts w:ascii="Calibri" w:hAnsi="Calibri"/>
        </w:rPr>
        <w:t>Annual Review of</w:t>
      </w:r>
      <w:r w:rsidRPr="00185D35">
        <w:rPr>
          <w:rFonts w:ascii="Calibri" w:hAnsi="Calibri"/>
          <w:spacing w:val="7"/>
        </w:rPr>
        <w:t xml:space="preserve"> </w:t>
      </w:r>
      <w:r w:rsidRPr="00185D35">
        <w:rPr>
          <w:rFonts w:ascii="Calibri" w:hAnsi="Calibri"/>
        </w:rPr>
        <w:t>Effectiveness</w:t>
      </w:r>
    </w:p>
    <w:p w14:paraId="0C7781DF" w14:textId="77777777" w:rsidR="00185D35" w:rsidRPr="00185D35" w:rsidRDefault="00185D35" w:rsidP="00185D35">
      <w:pPr>
        <w:pStyle w:val="BodyText"/>
        <w:spacing w:before="1"/>
        <w:ind w:left="567" w:right="117"/>
        <w:jc w:val="both"/>
        <w:rPr>
          <w:rFonts w:ascii="Calibri" w:hAnsi="Calibri"/>
        </w:rPr>
      </w:pPr>
      <w:r w:rsidRPr="00185D35">
        <w:rPr>
          <w:rFonts w:ascii="Calibri" w:hAnsi="Calibri"/>
        </w:rPr>
        <w:t xml:space="preserve">The University Court is responsible for reviewing the effectiveness of internal control of the </w:t>
      </w:r>
      <w:r w:rsidRPr="00185D35">
        <w:rPr>
          <w:rFonts w:ascii="Calibri" w:hAnsi="Calibri"/>
        </w:rPr>
        <w:lastRenderedPageBreak/>
        <w:t>University, based on information provided by Audit Committee. In doing this, Court will consider the following:</w:t>
      </w:r>
    </w:p>
    <w:p w14:paraId="5FBE1137" w14:textId="77777777" w:rsidR="00185D35" w:rsidRPr="00185D35" w:rsidRDefault="00185D35" w:rsidP="00185D35">
      <w:pPr>
        <w:pStyle w:val="BodyText"/>
        <w:spacing w:before="1"/>
        <w:ind w:left="567"/>
        <w:rPr>
          <w:rFonts w:ascii="Calibri" w:hAnsi="Calibri"/>
        </w:rPr>
      </w:pPr>
    </w:p>
    <w:p w14:paraId="19A75695" w14:textId="77777777" w:rsidR="00185D35" w:rsidRPr="001176B1" w:rsidRDefault="00185D35" w:rsidP="00185D35">
      <w:pPr>
        <w:pStyle w:val="ListParagraph"/>
        <w:widowControl w:val="0"/>
        <w:numPr>
          <w:ilvl w:val="1"/>
          <w:numId w:val="24"/>
        </w:numPr>
        <w:tabs>
          <w:tab w:val="left" w:pos="970"/>
          <w:tab w:val="left" w:pos="971"/>
        </w:tabs>
        <w:autoSpaceDE w:val="0"/>
        <w:autoSpaceDN w:val="0"/>
        <w:spacing w:before="1"/>
        <w:ind w:left="970" w:hanging="261"/>
        <w:contextualSpacing w:val="0"/>
        <w:rPr>
          <w:rFonts w:ascii="Calibri" w:hAnsi="Calibri"/>
          <w:sz w:val="22"/>
          <w:szCs w:val="22"/>
        </w:rPr>
      </w:pPr>
      <w:r w:rsidRPr="001176B1">
        <w:rPr>
          <w:rFonts w:ascii="Calibri" w:hAnsi="Calibri"/>
          <w:sz w:val="22"/>
          <w:szCs w:val="22"/>
        </w:rPr>
        <w:t>The University’s objectives and its financial and non-financial</w:t>
      </w:r>
      <w:r w:rsidRPr="001176B1">
        <w:rPr>
          <w:rFonts w:ascii="Calibri" w:hAnsi="Calibri"/>
          <w:spacing w:val="-12"/>
          <w:sz w:val="22"/>
          <w:szCs w:val="22"/>
        </w:rPr>
        <w:t xml:space="preserve"> </w:t>
      </w:r>
      <w:r w:rsidRPr="001176B1">
        <w:rPr>
          <w:rFonts w:ascii="Calibri" w:hAnsi="Calibri"/>
          <w:sz w:val="22"/>
          <w:szCs w:val="22"/>
        </w:rPr>
        <w:t>targets</w:t>
      </w:r>
    </w:p>
    <w:p w14:paraId="43B13F50" w14:textId="77777777" w:rsidR="00185D35" w:rsidRPr="001176B1" w:rsidRDefault="00185D35" w:rsidP="00185D35">
      <w:pPr>
        <w:pStyle w:val="BodyText"/>
        <w:spacing w:before="9"/>
        <w:ind w:hanging="261"/>
        <w:rPr>
          <w:rFonts w:ascii="Calibri" w:hAnsi="Calibri"/>
        </w:rPr>
      </w:pPr>
    </w:p>
    <w:p w14:paraId="01D6A7D9" w14:textId="77777777" w:rsidR="00185D35" w:rsidRPr="001176B1"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176B1">
        <w:rPr>
          <w:rFonts w:ascii="Calibri" w:hAnsi="Calibri"/>
          <w:sz w:val="22"/>
          <w:szCs w:val="22"/>
        </w:rPr>
        <w:t>The University’s performance in identifying, assessing and reporting</w:t>
      </w:r>
      <w:r w:rsidRPr="001176B1">
        <w:rPr>
          <w:rFonts w:ascii="Calibri" w:hAnsi="Calibri"/>
          <w:spacing w:val="-13"/>
          <w:sz w:val="22"/>
          <w:szCs w:val="22"/>
        </w:rPr>
        <w:t xml:space="preserve"> </w:t>
      </w:r>
      <w:r w:rsidRPr="001176B1">
        <w:rPr>
          <w:rFonts w:ascii="Calibri" w:hAnsi="Calibri"/>
          <w:sz w:val="22"/>
          <w:szCs w:val="22"/>
        </w:rPr>
        <w:t>risks</w:t>
      </w:r>
    </w:p>
    <w:p w14:paraId="22F1E3C2" w14:textId="77777777" w:rsidR="00185D35" w:rsidRPr="001176B1" w:rsidRDefault="00185D35" w:rsidP="00185D35">
      <w:pPr>
        <w:pStyle w:val="BodyText"/>
        <w:spacing w:before="10"/>
        <w:ind w:hanging="261"/>
        <w:rPr>
          <w:rFonts w:ascii="Calibri" w:hAnsi="Calibri"/>
        </w:rPr>
      </w:pPr>
    </w:p>
    <w:p w14:paraId="34BB5E99" w14:textId="451C740B" w:rsidR="00185D35" w:rsidRPr="001176B1" w:rsidRDefault="00185D35" w:rsidP="00185D35">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176B1">
        <w:rPr>
          <w:rFonts w:ascii="Calibri" w:hAnsi="Calibri"/>
          <w:sz w:val="22"/>
          <w:szCs w:val="22"/>
        </w:rPr>
        <w:t>Prioritisation of risks and the allocation of resources to areas of high</w:t>
      </w:r>
      <w:r w:rsidRPr="001176B1">
        <w:rPr>
          <w:rFonts w:ascii="Calibri" w:hAnsi="Calibri"/>
          <w:spacing w:val="-11"/>
          <w:sz w:val="22"/>
          <w:szCs w:val="22"/>
        </w:rPr>
        <w:t xml:space="preserve"> </w:t>
      </w:r>
      <w:r w:rsidRPr="001176B1">
        <w:rPr>
          <w:rFonts w:ascii="Calibri" w:hAnsi="Calibri"/>
          <w:sz w:val="22"/>
          <w:szCs w:val="22"/>
        </w:rPr>
        <w:t>exposure</w:t>
      </w:r>
    </w:p>
    <w:p w14:paraId="66F59E08" w14:textId="77777777" w:rsidR="001176B1" w:rsidRPr="001176B1" w:rsidRDefault="001176B1" w:rsidP="001176B1">
      <w:pPr>
        <w:pStyle w:val="ListParagraph"/>
        <w:rPr>
          <w:rFonts w:ascii="Calibri" w:hAnsi="Calibri"/>
          <w:sz w:val="22"/>
          <w:szCs w:val="22"/>
        </w:rPr>
      </w:pPr>
    </w:p>
    <w:p w14:paraId="23D5BDA9" w14:textId="77777777" w:rsidR="00185D35" w:rsidRPr="001176B1" w:rsidRDefault="00185D35" w:rsidP="001176B1">
      <w:pPr>
        <w:pStyle w:val="ListParagraph"/>
        <w:widowControl w:val="0"/>
        <w:numPr>
          <w:ilvl w:val="1"/>
          <w:numId w:val="24"/>
        </w:numPr>
        <w:tabs>
          <w:tab w:val="left" w:pos="970"/>
          <w:tab w:val="left" w:pos="971"/>
        </w:tabs>
        <w:autoSpaceDE w:val="0"/>
        <w:autoSpaceDN w:val="0"/>
        <w:ind w:left="970" w:hanging="261"/>
        <w:contextualSpacing w:val="0"/>
        <w:rPr>
          <w:rFonts w:ascii="Calibri" w:hAnsi="Calibri"/>
          <w:sz w:val="22"/>
          <w:szCs w:val="22"/>
        </w:rPr>
      </w:pPr>
      <w:r w:rsidRPr="001176B1">
        <w:rPr>
          <w:rFonts w:ascii="Calibri" w:hAnsi="Calibri"/>
          <w:sz w:val="22"/>
          <w:szCs w:val="22"/>
        </w:rPr>
        <w:t>Effectiveness of control</w:t>
      </w:r>
      <w:r w:rsidRPr="001176B1">
        <w:rPr>
          <w:rFonts w:ascii="Calibri" w:hAnsi="Calibri"/>
          <w:spacing w:val="-2"/>
          <w:sz w:val="22"/>
          <w:szCs w:val="22"/>
        </w:rPr>
        <w:t xml:space="preserve"> </w:t>
      </w:r>
      <w:r w:rsidRPr="001176B1">
        <w:rPr>
          <w:rFonts w:ascii="Calibri" w:hAnsi="Calibri"/>
          <w:sz w:val="22"/>
          <w:szCs w:val="22"/>
        </w:rPr>
        <w:t>measures</w:t>
      </w:r>
    </w:p>
    <w:p w14:paraId="59D9B3D7" w14:textId="77777777" w:rsidR="00185D35" w:rsidRPr="00185D35" w:rsidRDefault="00185D35" w:rsidP="00185D35">
      <w:pPr>
        <w:pStyle w:val="BodyText"/>
        <w:spacing w:before="10"/>
        <w:rPr>
          <w:rFonts w:ascii="Calibri" w:hAnsi="Calibri"/>
          <w:sz w:val="21"/>
        </w:rPr>
      </w:pPr>
    </w:p>
    <w:p w14:paraId="0FD528D5" w14:textId="77777777" w:rsidR="00185D35" w:rsidRPr="00185D35" w:rsidRDefault="00185D35" w:rsidP="001176B1">
      <w:pPr>
        <w:pStyle w:val="BodyText"/>
        <w:ind w:left="567"/>
        <w:rPr>
          <w:rFonts w:ascii="Calibri" w:hAnsi="Calibri"/>
        </w:rPr>
      </w:pPr>
      <w:r w:rsidRPr="00185D35">
        <w:rPr>
          <w:rFonts w:ascii="Calibri" w:hAnsi="Calibri"/>
        </w:rPr>
        <w:t>Audit Committee, on behalf of University Court, will review the risk register and this policy document to ensure on-going effectiveness in the management of risk.</w:t>
      </w:r>
    </w:p>
    <w:p w14:paraId="7F8C322A" w14:textId="77777777" w:rsidR="00185D35" w:rsidRPr="00185D35" w:rsidRDefault="00185D35" w:rsidP="00185D35">
      <w:pPr>
        <w:pStyle w:val="BodyText"/>
        <w:spacing w:before="11"/>
        <w:rPr>
          <w:rFonts w:ascii="Calibri" w:hAnsi="Calibri"/>
          <w:sz w:val="21"/>
        </w:rPr>
      </w:pPr>
    </w:p>
    <w:p w14:paraId="406D7DB4" w14:textId="77777777" w:rsidR="00185D35" w:rsidRPr="00185D35" w:rsidRDefault="00185D35" w:rsidP="00185D35">
      <w:pPr>
        <w:pStyle w:val="Heading3"/>
        <w:spacing w:line="477" w:lineRule="auto"/>
        <w:ind w:left="118" w:right="5199" w:firstLine="0"/>
        <w:jc w:val="left"/>
        <w:rPr>
          <w:rFonts w:ascii="Calibri" w:hAnsi="Calibri"/>
        </w:rPr>
      </w:pPr>
      <w:r w:rsidRPr="00185D35">
        <w:rPr>
          <w:rFonts w:ascii="Calibri" w:hAnsi="Calibri"/>
        </w:rPr>
        <w:t xml:space="preserve">Policy and Planning </w:t>
      </w:r>
    </w:p>
    <w:p w14:paraId="437C3363" w14:textId="14C883DB" w:rsidR="00185D35" w:rsidRPr="00185D35" w:rsidRDefault="001A4095" w:rsidP="00185D35">
      <w:pPr>
        <w:pStyle w:val="Heading3"/>
        <w:spacing w:line="477" w:lineRule="auto"/>
        <w:ind w:left="118" w:right="5199" w:firstLine="0"/>
        <w:jc w:val="left"/>
        <w:rPr>
          <w:rFonts w:ascii="Calibri" w:hAnsi="Calibri"/>
        </w:rPr>
      </w:pPr>
      <w:r>
        <w:rPr>
          <w:rFonts w:ascii="Calibri" w:hAnsi="Calibri"/>
        </w:rPr>
        <w:t>June 2021</w:t>
      </w:r>
    </w:p>
    <w:p w14:paraId="2B76E24B" w14:textId="77777777" w:rsidR="00185D35" w:rsidRDefault="00185D35"/>
    <w:p w14:paraId="047843B3" w14:textId="50BC259E" w:rsidR="00185D35" w:rsidRDefault="00185D35"/>
    <w:p w14:paraId="5CFC08CC" w14:textId="4BEA5140" w:rsidR="001176B1" w:rsidRDefault="001176B1"/>
    <w:p w14:paraId="773BE79A" w14:textId="5030F99A" w:rsidR="001176B1" w:rsidRDefault="001176B1"/>
    <w:p w14:paraId="01E47020" w14:textId="33AE33AC" w:rsidR="001176B1" w:rsidRDefault="001176B1"/>
    <w:p w14:paraId="3D01223B" w14:textId="6F8B0C9E" w:rsidR="001176B1" w:rsidRDefault="001176B1"/>
    <w:p w14:paraId="44700BC6" w14:textId="198086DF" w:rsidR="001176B1" w:rsidRDefault="001176B1"/>
    <w:p w14:paraId="72C2C79D" w14:textId="3570D17D" w:rsidR="001176B1" w:rsidRDefault="001176B1"/>
    <w:p w14:paraId="44218133" w14:textId="546664BB" w:rsidR="001176B1" w:rsidRDefault="001176B1"/>
    <w:p w14:paraId="773346A7" w14:textId="052A6404" w:rsidR="001176B1" w:rsidRDefault="001176B1"/>
    <w:p w14:paraId="464B9DEF" w14:textId="5DF6A14E" w:rsidR="001176B1" w:rsidRDefault="001176B1"/>
    <w:p w14:paraId="5997121D" w14:textId="139EC824" w:rsidR="001176B1" w:rsidRDefault="001176B1"/>
    <w:p w14:paraId="4D70CC3E" w14:textId="7B584514" w:rsidR="001176B1" w:rsidRDefault="001176B1"/>
    <w:p w14:paraId="045F1950" w14:textId="4F5ACE14" w:rsidR="001176B1" w:rsidRDefault="001176B1"/>
    <w:p w14:paraId="69A0C20F" w14:textId="5741AFC3" w:rsidR="001176B1" w:rsidRDefault="001176B1"/>
    <w:p w14:paraId="0E009E6A" w14:textId="48CA026D" w:rsidR="001176B1" w:rsidRDefault="001176B1"/>
    <w:p w14:paraId="08CBF91A" w14:textId="14200455" w:rsidR="001176B1" w:rsidRDefault="001176B1"/>
    <w:p w14:paraId="2B52F8F6" w14:textId="2925C52B" w:rsidR="001176B1" w:rsidRDefault="001176B1"/>
    <w:p w14:paraId="2909C742" w14:textId="772DF123" w:rsidR="001176B1" w:rsidRDefault="001176B1"/>
    <w:p w14:paraId="3888B477" w14:textId="6F8010AB" w:rsidR="001176B1" w:rsidRDefault="001176B1"/>
    <w:p w14:paraId="1F0C6F5A" w14:textId="3B1893A8" w:rsidR="001176B1" w:rsidRDefault="001176B1"/>
    <w:p w14:paraId="38E56435" w14:textId="5342065E" w:rsidR="001176B1" w:rsidRDefault="001176B1"/>
    <w:p w14:paraId="26FB1812" w14:textId="09D72ECD" w:rsidR="001176B1" w:rsidRDefault="001176B1"/>
    <w:p w14:paraId="1F2B3429" w14:textId="577CB986" w:rsidR="001176B1" w:rsidRDefault="001176B1"/>
    <w:p w14:paraId="66E61F19" w14:textId="2543DE9F" w:rsidR="001176B1" w:rsidRDefault="001176B1"/>
    <w:p w14:paraId="75E94B1B" w14:textId="6B7712E4" w:rsidR="00B905F8" w:rsidRDefault="00B905F8"/>
    <w:p w14:paraId="3E2F9CCD" w14:textId="0DB836E2" w:rsidR="00B905F8" w:rsidRDefault="00B905F8"/>
    <w:p w14:paraId="4BF31998" w14:textId="77777777" w:rsidR="00B905F8" w:rsidRDefault="00B905F8"/>
    <w:p w14:paraId="23368F05" w14:textId="77777777" w:rsidR="00B905F8" w:rsidRDefault="00B905F8"/>
    <w:p w14:paraId="53F9E1FC" w14:textId="77777777" w:rsidR="001A4095" w:rsidRDefault="001A4095">
      <w:pPr>
        <w:rPr>
          <w:b/>
          <w:bCs/>
          <w:sz w:val="32"/>
          <w:szCs w:val="32"/>
        </w:rPr>
      </w:pPr>
    </w:p>
    <w:p w14:paraId="375E99BC" w14:textId="6ACCF5AD" w:rsidR="00952489" w:rsidRPr="00B905F8" w:rsidRDefault="00B905F8">
      <w:pPr>
        <w:rPr>
          <w:b/>
          <w:bCs/>
          <w:sz w:val="32"/>
          <w:szCs w:val="32"/>
        </w:rPr>
      </w:pPr>
      <w:r w:rsidRPr="00B905F8">
        <w:rPr>
          <w:b/>
          <w:bCs/>
          <w:sz w:val="32"/>
          <w:szCs w:val="32"/>
        </w:rPr>
        <w:lastRenderedPageBreak/>
        <w:t xml:space="preserve">Risk Management Guidance </w:t>
      </w:r>
    </w:p>
    <w:p w14:paraId="589BEDDB" w14:textId="65BC0F14" w:rsidR="00B905F8" w:rsidRDefault="00B905F8"/>
    <w:p w14:paraId="7BE14A26" w14:textId="79AA69A6" w:rsidR="00B905F8" w:rsidRPr="00B33DA7" w:rsidRDefault="00E004DE" w:rsidP="00B905F8">
      <w:pPr>
        <w:jc w:val="both"/>
        <w:rPr>
          <w:b/>
          <w:bCs/>
          <w:sz w:val="22"/>
          <w:szCs w:val="22"/>
        </w:rPr>
      </w:pPr>
      <w:r w:rsidRPr="00B33DA7">
        <w:rPr>
          <w:b/>
          <w:bCs/>
          <w:sz w:val="22"/>
          <w:szCs w:val="22"/>
        </w:rPr>
        <w:t>1.</w:t>
      </w:r>
      <w:r w:rsidR="00B905F8" w:rsidRPr="00B33DA7">
        <w:rPr>
          <w:b/>
          <w:bCs/>
          <w:sz w:val="22"/>
          <w:szCs w:val="22"/>
        </w:rPr>
        <w:t xml:space="preserve"> </w:t>
      </w:r>
      <w:r w:rsidRPr="00B33DA7">
        <w:rPr>
          <w:b/>
          <w:bCs/>
          <w:sz w:val="22"/>
          <w:szCs w:val="22"/>
        </w:rPr>
        <w:t xml:space="preserve">Purpose </w:t>
      </w:r>
      <w:r w:rsidR="00B905F8" w:rsidRPr="00B33DA7">
        <w:rPr>
          <w:b/>
          <w:bCs/>
          <w:sz w:val="22"/>
          <w:szCs w:val="22"/>
        </w:rPr>
        <w:t xml:space="preserve"> </w:t>
      </w:r>
    </w:p>
    <w:p w14:paraId="717AFFE7" w14:textId="3EA7B1D8" w:rsidR="00126F6C" w:rsidRPr="00B33DA7" w:rsidRDefault="00B905F8" w:rsidP="00E76EEF">
      <w:pPr>
        <w:spacing w:before="100" w:beforeAutospacing="1" w:after="100" w:afterAutospacing="1"/>
        <w:jc w:val="both"/>
        <w:rPr>
          <w:rFonts w:ascii="Calibri" w:hAnsi="Calibri" w:cs="Calibri"/>
          <w:i/>
          <w:iCs/>
          <w:sz w:val="22"/>
          <w:szCs w:val="22"/>
        </w:rPr>
      </w:pPr>
      <w:r w:rsidRPr="00B33DA7">
        <w:rPr>
          <w:rFonts w:eastAsia="Times New Roman" w:cs="Times New Roman"/>
          <w:sz w:val="22"/>
          <w:szCs w:val="22"/>
          <w:lang w:eastAsia="en-GB"/>
        </w:rPr>
        <w:t>The University of Stirling recognises the importance of effective identification, evaluation and management of all key strategic and operational risks</w:t>
      </w:r>
      <w:r w:rsidR="00E76EEF">
        <w:rPr>
          <w:rFonts w:eastAsia="Times New Roman" w:cs="Times New Roman"/>
          <w:sz w:val="22"/>
          <w:szCs w:val="22"/>
          <w:lang w:eastAsia="en-GB"/>
        </w:rPr>
        <w:t xml:space="preserve">.  </w:t>
      </w:r>
    </w:p>
    <w:p w14:paraId="76675919" w14:textId="00A2AECE" w:rsidR="007D45D3" w:rsidRPr="00B33DA7" w:rsidRDefault="007D45D3" w:rsidP="00B905F8">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Risk is ever present and some amount of risk taking is inevitable if the University is to achieve its objectives. By being ‘risk aware’ and understanding its risk appetite the University is in a better position to avoid threats and take advantage of opportunities. </w:t>
      </w:r>
    </w:p>
    <w:p w14:paraId="5D6DE691" w14:textId="569D6C55" w:rsidR="00B905F8" w:rsidRPr="00B33DA7" w:rsidRDefault="00B905F8" w:rsidP="00B905F8">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Risk Management is a key element of the University’s overarching </w:t>
      </w:r>
      <w:r w:rsidR="009B4A1D" w:rsidRPr="00B33DA7">
        <w:rPr>
          <w:rFonts w:eastAsia="Times New Roman" w:cs="Times New Roman"/>
          <w:sz w:val="22"/>
          <w:szCs w:val="22"/>
          <w:lang w:eastAsia="en-GB"/>
        </w:rPr>
        <w:t>g</w:t>
      </w:r>
      <w:r w:rsidRPr="00B33DA7">
        <w:rPr>
          <w:rFonts w:eastAsia="Times New Roman" w:cs="Times New Roman"/>
          <w:sz w:val="22"/>
          <w:szCs w:val="22"/>
          <w:lang w:eastAsia="en-GB"/>
        </w:rPr>
        <w:t xml:space="preserve">overnance arrangements as it demonstrates that we have considered our plans, we have analysed the consequences of things going wrong, and that we have thought through the actions and controls we need to prevent or limit these consequences. </w:t>
      </w:r>
    </w:p>
    <w:p w14:paraId="545E8FAD" w14:textId="1965BD04" w:rsidR="008D6CEF" w:rsidRPr="00B33DA7" w:rsidRDefault="00B905F8" w:rsidP="00B905F8">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This document</w:t>
      </w:r>
      <w:r w:rsidR="00E76EEF">
        <w:rPr>
          <w:rFonts w:eastAsia="Times New Roman" w:cs="Times New Roman"/>
          <w:sz w:val="22"/>
          <w:szCs w:val="22"/>
          <w:lang w:eastAsia="en-GB"/>
        </w:rPr>
        <w:t xml:space="preserve">, </w:t>
      </w:r>
      <w:r w:rsidRPr="00B33DA7">
        <w:rPr>
          <w:rFonts w:eastAsia="Times New Roman" w:cs="Times New Roman"/>
          <w:sz w:val="22"/>
          <w:szCs w:val="22"/>
          <w:lang w:eastAsia="en-GB"/>
        </w:rPr>
        <w:t xml:space="preserve">and the related </w:t>
      </w:r>
      <w:r w:rsidR="009B4A1D" w:rsidRPr="00B33DA7">
        <w:rPr>
          <w:rFonts w:eastAsia="Times New Roman" w:cs="Times New Roman"/>
          <w:sz w:val="22"/>
          <w:szCs w:val="22"/>
          <w:lang w:eastAsia="en-GB"/>
        </w:rPr>
        <w:t xml:space="preserve">Risk Appetite Statement and </w:t>
      </w:r>
      <w:r w:rsidRPr="00B33DA7">
        <w:rPr>
          <w:rFonts w:eastAsia="Times New Roman" w:cs="Times New Roman"/>
          <w:sz w:val="22"/>
          <w:szCs w:val="22"/>
          <w:lang w:eastAsia="en-GB"/>
        </w:rPr>
        <w:t>Risk Management Policy</w:t>
      </w:r>
      <w:r w:rsidR="00E76EEF">
        <w:rPr>
          <w:rFonts w:eastAsia="Times New Roman" w:cs="Times New Roman"/>
          <w:sz w:val="22"/>
          <w:szCs w:val="22"/>
          <w:lang w:eastAsia="en-GB"/>
        </w:rPr>
        <w:t xml:space="preserve">, </w:t>
      </w:r>
      <w:r w:rsidRPr="00B33DA7">
        <w:rPr>
          <w:rFonts w:eastAsia="Times New Roman" w:cs="Times New Roman"/>
          <w:sz w:val="22"/>
          <w:szCs w:val="22"/>
          <w:lang w:eastAsia="en-GB"/>
        </w:rPr>
        <w:t xml:space="preserve">should be used as a basis to establish and embed </w:t>
      </w:r>
      <w:r w:rsidR="00126F6C" w:rsidRPr="00B33DA7">
        <w:rPr>
          <w:rFonts w:eastAsia="Times New Roman" w:cs="Times New Roman"/>
          <w:sz w:val="22"/>
          <w:szCs w:val="22"/>
          <w:lang w:eastAsia="en-GB"/>
        </w:rPr>
        <w:t>ri</w:t>
      </w:r>
      <w:r w:rsidRPr="00B33DA7">
        <w:rPr>
          <w:rFonts w:eastAsia="Times New Roman" w:cs="Times New Roman"/>
          <w:sz w:val="22"/>
          <w:szCs w:val="22"/>
          <w:lang w:eastAsia="en-GB"/>
        </w:rPr>
        <w:t xml:space="preserve">sk </w:t>
      </w:r>
      <w:r w:rsidR="00126F6C" w:rsidRPr="00B33DA7">
        <w:rPr>
          <w:rFonts w:eastAsia="Times New Roman" w:cs="Times New Roman"/>
          <w:sz w:val="22"/>
          <w:szCs w:val="22"/>
          <w:lang w:eastAsia="en-GB"/>
        </w:rPr>
        <w:t>m</w:t>
      </w:r>
      <w:r w:rsidRPr="00B33DA7">
        <w:rPr>
          <w:rFonts w:eastAsia="Times New Roman" w:cs="Times New Roman"/>
          <w:sz w:val="22"/>
          <w:szCs w:val="22"/>
          <w:lang w:eastAsia="en-GB"/>
        </w:rPr>
        <w:t>anagement within everyday activities across the University</w:t>
      </w:r>
      <w:r w:rsidR="002347E5" w:rsidRPr="00B33DA7">
        <w:rPr>
          <w:rFonts w:eastAsia="Times New Roman" w:cs="Times New Roman"/>
          <w:sz w:val="22"/>
          <w:szCs w:val="22"/>
          <w:lang w:eastAsia="en-GB"/>
        </w:rPr>
        <w:t xml:space="preserve">.  </w:t>
      </w:r>
    </w:p>
    <w:p w14:paraId="1F0B51C1" w14:textId="24E9AECC" w:rsidR="00E004DE" w:rsidRPr="00B33DA7" w:rsidRDefault="00E004DE" w:rsidP="00E004DE">
      <w:pPr>
        <w:jc w:val="both"/>
        <w:rPr>
          <w:b/>
          <w:bCs/>
          <w:sz w:val="22"/>
          <w:szCs w:val="22"/>
        </w:rPr>
      </w:pPr>
      <w:r w:rsidRPr="00B33DA7">
        <w:rPr>
          <w:b/>
          <w:bCs/>
          <w:sz w:val="22"/>
          <w:szCs w:val="22"/>
        </w:rPr>
        <w:t xml:space="preserve">2. Definition of Risk Management  </w:t>
      </w:r>
    </w:p>
    <w:p w14:paraId="29C42D2A" w14:textId="77777777" w:rsidR="00B905F8" w:rsidRPr="00B33DA7" w:rsidRDefault="00B905F8" w:rsidP="00E004DE">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What is a Risk? </w:t>
      </w:r>
    </w:p>
    <w:p w14:paraId="660563F2" w14:textId="77777777" w:rsidR="00B905F8" w:rsidRPr="00B33DA7" w:rsidRDefault="00B905F8" w:rsidP="00E004DE">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A risk is the uncertainty of an event occurring that could have an impact on the achievement of the organisation’s objectives. Risk is measured in terms of likelihood and impact. The effect may be positive, negative or a deviation from the expected. A risk is often described by an event, change in circumstance or a consequence. </w:t>
      </w:r>
    </w:p>
    <w:p w14:paraId="3BB30CED" w14:textId="74FBE43D" w:rsidR="009B4A1D" w:rsidRPr="00B33DA7" w:rsidRDefault="00B905F8" w:rsidP="009B4A1D">
      <w:pPr>
        <w:pStyle w:val="NormalWeb"/>
        <w:shd w:val="clear" w:color="auto" w:fill="FFFFFF"/>
        <w:jc w:val="both"/>
        <w:rPr>
          <w:rFonts w:asciiTheme="minorHAnsi" w:hAnsiTheme="minorHAnsi" w:cstheme="minorHAnsi"/>
          <w:color w:val="000000" w:themeColor="text1"/>
          <w:sz w:val="22"/>
          <w:szCs w:val="22"/>
        </w:rPr>
      </w:pPr>
      <w:r w:rsidRPr="00B33DA7">
        <w:rPr>
          <w:rFonts w:asciiTheme="minorHAnsi" w:hAnsiTheme="minorHAnsi" w:cstheme="minorHAnsi"/>
          <w:b/>
          <w:bCs/>
          <w:color w:val="000000" w:themeColor="text1"/>
          <w:sz w:val="22"/>
          <w:szCs w:val="22"/>
        </w:rPr>
        <w:t>Strategic risk</w:t>
      </w:r>
      <w:r w:rsidRPr="00B33DA7">
        <w:rPr>
          <w:rFonts w:asciiTheme="minorHAnsi" w:hAnsiTheme="minorHAnsi" w:cstheme="minorHAnsi"/>
          <w:color w:val="000000" w:themeColor="text1"/>
          <w:sz w:val="22"/>
          <w:szCs w:val="22"/>
        </w:rPr>
        <w:t xml:space="preserve"> is concerned with where the organisation wants to go, how it plans to get there and how it can ensure survival. </w:t>
      </w:r>
      <w:r w:rsidR="009B4A1D" w:rsidRPr="00B33DA7">
        <w:rPr>
          <w:rFonts w:asciiTheme="minorHAnsi" w:hAnsiTheme="minorHAnsi" w:cstheme="minorHAnsi"/>
          <w:color w:val="000000" w:themeColor="text1"/>
          <w:sz w:val="22"/>
          <w:szCs w:val="22"/>
        </w:rPr>
        <w:t xml:space="preserve">This is the risk associated with the achievement of future business plan objectives including strategic objectives. This will include new initiatives and funding streams as well as the development of current services and funding streams. </w:t>
      </w:r>
    </w:p>
    <w:p w14:paraId="1C60B87D" w14:textId="77777777" w:rsidR="009B4A1D" w:rsidRPr="00B33DA7" w:rsidRDefault="00B905F8" w:rsidP="009B4A1D">
      <w:pPr>
        <w:pStyle w:val="NormalWeb"/>
        <w:shd w:val="clear" w:color="auto" w:fill="FFFFFF"/>
        <w:jc w:val="both"/>
        <w:rPr>
          <w:rFonts w:asciiTheme="minorHAnsi" w:hAnsiTheme="minorHAnsi" w:cstheme="minorHAnsi"/>
          <w:color w:val="000000" w:themeColor="text1"/>
          <w:sz w:val="22"/>
          <w:szCs w:val="22"/>
        </w:rPr>
      </w:pPr>
      <w:r w:rsidRPr="00B33DA7">
        <w:rPr>
          <w:rFonts w:asciiTheme="minorHAnsi" w:hAnsiTheme="minorHAnsi" w:cstheme="minorHAnsi"/>
          <w:b/>
          <w:bCs/>
          <w:color w:val="000000" w:themeColor="text1"/>
          <w:sz w:val="22"/>
          <w:szCs w:val="22"/>
        </w:rPr>
        <w:t>Operational risk</w:t>
      </w:r>
      <w:r w:rsidRPr="00B33DA7">
        <w:rPr>
          <w:rFonts w:asciiTheme="minorHAnsi" w:hAnsiTheme="minorHAnsi" w:cstheme="minorHAnsi"/>
          <w:color w:val="000000" w:themeColor="text1"/>
          <w:sz w:val="22"/>
          <w:szCs w:val="22"/>
        </w:rPr>
        <w:t xml:space="preserve"> is the risk of loss or gain, resulting from inadequate or failed internal processes, people and systems or from external events. </w:t>
      </w:r>
      <w:r w:rsidR="009B4A1D" w:rsidRPr="00B33DA7">
        <w:rPr>
          <w:rFonts w:asciiTheme="minorHAnsi" w:hAnsiTheme="minorHAnsi" w:cstheme="minorHAnsi"/>
          <w:color w:val="000000" w:themeColor="text1"/>
          <w:sz w:val="22"/>
          <w:szCs w:val="22"/>
        </w:rPr>
        <w:t xml:space="preserve">this is the risk associated with ongoing operational procedures and systems. This will include systems such as payroll, management information and human resources. </w:t>
      </w:r>
    </w:p>
    <w:p w14:paraId="258DF859" w14:textId="77777777" w:rsidR="007C7BEB" w:rsidRPr="007C7BEB" w:rsidRDefault="007C7BEB" w:rsidP="007C7BEB">
      <w:pPr>
        <w:shd w:val="clear" w:color="auto" w:fill="FFFFFF"/>
        <w:spacing w:before="100" w:beforeAutospacing="1" w:after="100" w:afterAutospacing="1"/>
        <w:jc w:val="both"/>
        <w:rPr>
          <w:rFonts w:ascii="Calibri" w:eastAsia="Times New Roman" w:hAnsi="Calibri" w:cs="Calibri"/>
          <w:color w:val="000000" w:themeColor="text1"/>
          <w:sz w:val="22"/>
          <w:szCs w:val="22"/>
          <w:lang w:eastAsia="en-GB"/>
        </w:rPr>
      </w:pPr>
      <w:r w:rsidRPr="007C7BEB">
        <w:rPr>
          <w:rFonts w:ascii="Calibri" w:eastAsia="Times New Roman" w:hAnsi="Calibri" w:cs="Calibri"/>
          <w:b/>
          <w:bCs/>
          <w:color w:val="000000" w:themeColor="text1"/>
          <w:sz w:val="22"/>
          <w:szCs w:val="22"/>
          <w:lang w:eastAsia="en-GB"/>
        </w:rPr>
        <w:t>Project risk</w:t>
      </w:r>
      <w:r w:rsidRPr="007C7BEB">
        <w:rPr>
          <w:rFonts w:ascii="Calibri" w:eastAsia="Times New Roman" w:hAnsi="Calibri" w:cs="Calibri"/>
          <w:color w:val="000000" w:themeColor="text1"/>
          <w:sz w:val="22"/>
          <w:szCs w:val="22"/>
          <w:lang w:eastAsia="en-GB"/>
        </w:rPr>
        <w:t xml:space="preserve"> – this is the risk associated with the successful completion of a project in order to deliver its strategic and operational objectives effectively, efficiently, in line with agreed resources and to deliver identified benefits. Project risk may occur in relation to the development of a new service, product or provision, the introduction of new systems or significant changes to existing systems. </w:t>
      </w:r>
    </w:p>
    <w:p w14:paraId="3FEDCEF7" w14:textId="59A38A7B" w:rsidR="007C7BEB" w:rsidRPr="00B33DA7" w:rsidRDefault="007C7BEB" w:rsidP="007C7BEB">
      <w:pPr>
        <w:shd w:val="clear" w:color="auto" w:fill="FFFFFF"/>
        <w:spacing w:before="100" w:beforeAutospacing="1" w:after="100" w:afterAutospacing="1"/>
        <w:jc w:val="both"/>
        <w:rPr>
          <w:rFonts w:ascii="Times New Roman" w:eastAsia="Times New Roman" w:hAnsi="Times New Roman" w:cs="Times New Roman"/>
          <w:sz w:val="22"/>
          <w:szCs w:val="22"/>
          <w:lang w:eastAsia="en-GB"/>
        </w:rPr>
      </w:pPr>
      <w:r w:rsidRPr="007C7BEB">
        <w:rPr>
          <w:rFonts w:ascii="Calibri" w:eastAsia="Times New Roman" w:hAnsi="Calibri" w:cs="Calibri"/>
          <w:color w:val="000000" w:themeColor="text1"/>
          <w:sz w:val="22"/>
          <w:szCs w:val="22"/>
          <w:lang w:eastAsia="en-GB"/>
        </w:rPr>
        <w:t xml:space="preserve">Project risk will be a </w:t>
      </w:r>
      <w:r w:rsidR="00E43F8E" w:rsidRPr="00B33DA7">
        <w:rPr>
          <w:rFonts w:ascii="Calibri" w:eastAsia="Times New Roman" w:hAnsi="Calibri" w:cs="Calibri"/>
          <w:color w:val="000000" w:themeColor="text1"/>
          <w:sz w:val="22"/>
          <w:szCs w:val="22"/>
          <w:lang w:eastAsia="en-GB"/>
        </w:rPr>
        <w:t>short-term</w:t>
      </w:r>
      <w:r w:rsidRPr="007C7BEB">
        <w:rPr>
          <w:rFonts w:ascii="Calibri" w:eastAsia="Times New Roman" w:hAnsi="Calibri" w:cs="Calibri"/>
          <w:color w:val="000000" w:themeColor="text1"/>
          <w:sz w:val="22"/>
          <w:szCs w:val="22"/>
          <w:lang w:eastAsia="en-GB"/>
        </w:rPr>
        <w:t xml:space="preserve"> consideration in comparison to strategic and operational risk with the relevant strategic and operational elements of the risk moving into the above risk areas upon completion of the project</w:t>
      </w:r>
      <w:r w:rsidRPr="007C7BEB">
        <w:rPr>
          <w:rFonts w:ascii="HelveticaNeueLTStd" w:eastAsia="Times New Roman" w:hAnsi="HelveticaNeueLTStd" w:cs="Times New Roman"/>
          <w:color w:val="333333"/>
          <w:sz w:val="22"/>
          <w:szCs w:val="22"/>
          <w:lang w:eastAsia="en-GB"/>
        </w:rPr>
        <w:t xml:space="preserve">. </w:t>
      </w:r>
    </w:p>
    <w:p w14:paraId="3A5DE353" w14:textId="48FA286E" w:rsidR="00B905F8" w:rsidRPr="00B33DA7" w:rsidRDefault="00B905F8" w:rsidP="00E004DE">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What is Risk Management? </w:t>
      </w:r>
    </w:p>
    <w:p w14:paraId="3EE6B454" w14:textId="77777777" w:rsidR="00B905F8" w:rsidRPr="00B33DA7" w:rsidRDefault="00B905F8" w:rsidP="00E004DE">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lastRenderedPageBreak/>
        <w:t xml:space="preserve">In its simplest definition, Risk Management is a process that aims to help organisations understand, evaluate and take action on all of their risks to increase the probability of success and reduce the probability of failure. This requires co-ordination of activities to direct and control an organisation with regard to Risk Management. </w:t>
      </w:r>
    </w:p>
    <w:p w14:paraId="33A0D7CD" w14:textId="77777777" w:rsidR="00B905F8" w:rsidRPr="00B33DA7" w:rsidRDefault="00B905F8" w:rsidP="00E004DE">
      <w:p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Areas to consider are as follows: </w:t>
      </w:r>
    </w:p>
    <w:p w14:paraId="3C83B2C8" w14:textId="44253CAD" w:rsidR="00B905F8"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 xml:space="preserve">What internal and external factors could prevent the achievement of our objectives? </w:t>
      </w:r>
    </w:p>
    <w:p w14:paraId="3F910EF8" w14:textId="77777777" w:rsidR="00E004DE"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What could go wrong with our operations?</w:t>
      </w:r>
    </w:p>
    <w:p w14:paraId="093B0C71" w14:textId="77777777" w:rsidR="00E004DE"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How likely is it that they will go wrong?</w:t>
      </w:r>
    </w:p>
    <w:p w14:paraId="25507922" w14:textId="77777777" w:rsidR="00E004DE"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How bad (i.e. what impact) would it be if they did go wrong?</w:t>
      </w:r>
    </w:p>
    <w:p w14:paraId="5770B063" w14:textId="77777777" w:rsidR="00E004DE"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What can we do to prevent them (i.e. likelihood) from going wrong?</w:t>
      </w:r>
    </w:p>
    <w:p w14:paraId="4E1D1DA2" w14:textId="77777777" w:rsidR="00E004DE" w:rsidRPr="00B33DA7" w:rsidRDefault="00B905F8" w:rsidP="00E004DE">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Are we doing enough (i.e. mitigating controls) regarding what could go wrong?</w:t>
      </w:r>
    </w:p>
    <w:p w14:paraId="31D38FBF" w14:textId="4B871D01" w:rsidR="005139D1" w:rsidRPr="00B33DA7" w:rsidRDefault="00B905F8" w:rsidP="005139D1">
      <w:pPr>
        <w:pStyle w:val="ListParagraph"/>
        <w:numPr>
          <w:ilvl w:val="0"/>
          <w:numId w:val="4"/>
        </w:numPr>
        <w:spacing w:before="100" w:beforeAutospacing="1" w:after="100" w:afterAutospacing="1"/>
        <w:jc w:val="both"/>
        <w:rPr>
          <w:rFonts w:eastAsia="Times New Roman" w:cs="Times New Roman"/>
          <w:sz w:val="22"/>
          <w:szCs w:val="22"/>
          <w:lang w:eastAsia="en-GB"/>
        </w:rPr>
      </w:pPr>
      <w:r w:rsidRPr="00B33DA7">
        <w:rPr>
          <w:rFonts w:eastAsia="Times New Roman" w:cs="Times New Roman"/>
          <w:sz w:val="22"/>
          <w:szCs w:val="22"/>
          <w:lang w:eastAsia="en-GB"/>
        </w:rPr>
        <w:t>Who is responsible for ensuring that we have good answers to these questions?</w:t>
      </w:r>
      <w:r w:rsidR="005139D1" w:rsidRPr="00B33DA7">
        <w:rPr>
          <w:rFonts w:eastAsia="Times New Roman" w:cs="Times New Roman"/>
          <w:sz w:val="22"/>
          <w:szCs w:val="22"/>
          <w:lang w:eastAsia="en-GB"/>
        </w:rPr>
        <w:t xml:space="preserve"> </w:t>
      </w:r>
    </w:p>
    <w:p w14:paraId="19709040" w14:textId="77777777" w:rsidR="005139D1" w:rsidRPr="00B33DA7" w:rsidRDefault="005139D1" w:rsidP="005139D1">
      <w:pPr>
        <w:pStyle w:val="ListParagraph"/>
        <w:spacing w:before="100" w:beforeAutospacing="1" w:after="100" w:afterAutospacing="1"/>
        <w:jc w:val="both"/>
        <w:rPr>
          <w:rFonts w:ascii="Calibri" w:eastAsia="Times New Roman" w:hAnsi="Calibri" w:cs="Times New Roman"/>
          <w:sz w:val="22"/>
          <w:szCs w:val="22"/>
          <w:lang w:eastAsia="en-GB"/>
        </w:rPr>
      </w:pPr>
    </w:p>
    <w:p w14:paraId="2C47970A" w14:textId="6D12EAD2" w:rsidR="005139D1" w:rsidRPr="00B33DA7" w:rsidRDefault="005139D1" w:rsidP="005139D1">
      <w:pPr>
        <w:pStyle w:val="ListParagraph"/>
        <w:numPr>
          <w:ilvl w:val="0"/>
          <w:numId w:val="6"/>
        </w:numPr>
        <w:spacing w:before="100" w:beforeAutospacing="1" w:after="100" w:afterAutospacing="1"/>
        <w:ind w:left="284" w:hanging="284"/>
        <w:jc w:val="both"/>
        <w:rPr>
          <w:rFonts w:ascii="Calibri" w:eastAsia="Times New Roman" w:hAnsi="Calibri" w:cs="Times New Roman"/>
          <w:sz w:val="22"/>
          <w:szCs w:val="22"/>
          <w:lang w:eastAsia="en-GB"/>
        </w:rPr>
      </w:pPr>
      <w:r w:rsidRPr="00B33DA7">
        <w:rPr>
          <w:rFonts w:ascii="Calibri" w:hAnsi="Calibri"/>
          <w:b/>
          <w:bCs/>
          <w:sz w:val="22"/>
          <w:szCs w:val="22"/>
        </w:rPr>
        <w:t xml:space="preserve">Objectives of Risk Management   </w:t>
      </w:r>
    </w:p>
    <w:p w14:paraId="7A63CB0D" w14:textId="77777777" w:rsidR="00B905F8" w:rsidRPr="00B33DA7" w:rsidRDefault="00B905F8" w:rsidP="005139D1">
      <w:p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 xml:space="preserve">Our aims and objectives with respect to Risk Management are as follows: </w:t>
      </w:r>
    </w:p>
    <w:p w14:paraId="6171A350" w14:textId="51AE8465" w:rsidR="00B905F8" w:rsidRPr="00B33DA7" w:rsidRDefault="00B905F8" w:rsidP="005139D1">
      <w:pPr>
        <w:pStyle w:val="ListParagraph"/>
        <w:numPr>
          <w:ilvl w:val="0"/>
          <w:numId w:val="7"/>
        </w:num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 xml:space="preserve">To further embed Risk Management into the culture of the </w:t>
      </w:r>
      <w:r w:rsidR="005139D1" w:rsidRPr="00B33DA7">
        <w:rPr>
          <w:rFonts w:ascii="Calibri" w:eastAsia="Times New Roman" w:hAnsi="Calibri" w:cs="Times New Roman"/>
          <w:sz w:val="22"/>
          <w:szCs w:val="22"/>
          <w:lang w:eastAsia="en-GB"/>
        </w:rPr>
        <w:t>University</w:t>
      </w:r>
      <w:r w:rsidRPr="00B33DA7">
        <w:rPr>
          <w:rFonts w:ascii="Calibri" w:eastAsia="Times New Roman" w:hAnsi="Calibri" w:cs="Times New Roman"/>
          <w:sz w:val="22"/>
          <w:szCs w:val="22"/>
          <w:lang w:eastAsia="en-GB"/>
        </w:rPr>
        <w:t xml:space="preserve">; </w:t>
      </w:r>
    </w:p>
    <w:p w14:paraId="5F931BFD" w14:textId="1D6CFA45" w:rsidR="00B905F8" w:rsidRPr="00B33DA7" w:rsidRDefault="00B905F8" w:rsidP="005139D1">
      <w:pPr>
        <w:pStyle w:val="ListParagraph"/>
        <w:numPr>
          <w:ilvl w:val="0"/>
          <w:numId w:val="7"/>
        </w:num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 xml:space="preserve">To understand, proactively identify and manage opportunities and risks of both the </w:t>
      </w:r>
      <w:r w:rsidR="005139D1" w:rsidRPr="00B33DA7">
        <w:rPr>
          <w:rFonts w:ascii="Calibri" w:eastAsia="Times New Roman" w:hAnsi="Calibri" w:cs="Times New Roman"/>
          <w:sz w:val="22"/>
          <w:szCs w:val="22"/>
          <w:lang w:eastAsia="en-GB"/>
        </w:rPr>
        <w:t>University</w:t>
      </w:r>
      <w:r w:rsidRPr="00B33DA7">
        <w:rPr>
          <w:rFonts w:ascii="Calibri" w:eastAsia="Times New Roman" w:hAnsi="Calibri" w:cs="Times New Roman"/>
          <w:sz w:val="22"/>
          <w:szCs w:val="22"/>
          <w:lang w:eastAsia="en-GB"/>
        </w:rPr>
        <w:t xml:space="preserve"> and those partnerships with which it is involved, in accordance with good practice; </w:t>
      </w:r>
    </w:p>
    <w:p w14:paraId="4C58DF3B" w14:textId="29DA3580" w:rsidR="00B905F8" w:rsidRPr="00B33DA7" w:rsidRDefault="00B905F8" w:rsidP="005139D1">
      <w:pPr>
        <w:pStyle w:val="ListParagraph"/>
        <w:numPr>
          <w:ilvl w:val="0"/>
          <w:numId w:val="7"/>
        </w:num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 xml:space="preserve">To respond to risk in a balanced way, mindful of the risk level, risk reduction potential, cost/benefit, and relationship to resource constraints; </w:t>
      </w:r>
    </w:p>
    <w:p w14:paraId="670278B0" w14:textId="77777777" w:rsidR="005139D1" w:rsidRPr="00B33DA7" w:rsidRDefault="00B905F8" w:rsidP="005139D1">
      <w:pPr>
        <w:pStyle w:val="ListParagraph"/>
        <w:numPr>
          <w:ilvl w:val="0"/>
          <w:numId w:val="7"/>
        </w:num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To take actions to maximise opportunities and to minimise the likelihood of risks occurring and/or reducing the impact of consequences should risks occur; and</w:t>
      </w:r>
    </w:p>
    <w:p w14:paraId="1BD09A46" w14:textId="72046C3E" w:rsidR="00B905F8" w:rsidRPr="00B33DA7" w:rsidRDefault="00B905F8" w:rsidP="005139D1">
      <w:pPr>
        <w:pStyle w:val="ListParagraph"/>
        <w:numPr>
          <w:ilvl w:val="0"/>
          <w:numId w:val="7"/>
        </w:numPr>
        <w:spacing w:before="100" w:beforeAutospacing="1" w:after="100" w:afterAutospacing="1"/>
        <w:jc w:val="both"/>
        <w:rPr>
          <w:rFonts w:ascii="Calibri" w:eastAsia="Times New Roman" w:hAnsi="Calibri" w:cs="Times New Roman"/>
          <w:sz w:val="22"/>
          <w:szCs w:val="22"/>
          <w:lang w:eastAsia="en-GB"/>
        </w:rPr>
      </w:pPr>
      <w:r w:rsidRPr="00B33DA7">
        <w:rPr>
          <w:rFonts w:ascii="Calibri" w:eastAsia="Times New Roman" w:hAnsi="Calibri" w:cs="Times New Roman"/>
          <w:sz w:val="22"/>
          <w:szCs w:val="22"/>
          <w:lang w:eastAsia="en-GB"/>
        </w:rPr>
        <w:t xml:space="preserve">To provide information as to the effectiveness of the arrangements for risk management as a contribution towards the </w:t>
      </w:r>
      <w:r w:rsidR="003014F1" w:rsidRPr="00B33DA7">
        <w:rPr>
          <w:rFonts w:ascii="Calibri" w:eastAsia="Times New Roman" w:hAnsi="Calibri" w:cs="Times New Roman"/>
          <w:sz w:val="22"/>
          <w:szCs w:val="22"/>
          <w:lang w:eastAsia="en-GB"/>
        </w:rPr>
        <w:t>annual disclosure about risk management in audited financial statements</w:t>
      </w:r>
      <w:r w:rsidRPr="00B33DA7">
        <w:rPr>
          <w:rFonts w:ascii="Calibri" w:eastAsia="Times New Roman" w:hAnsi="Calibri" w:cs="Arial"/>
          <w:sz w:val="22"/>
          <w:szCs w:val="22"/>
          <w:lang w:eastAsia="en-GB"/>
        </w:rPr>
        <w:t xml:space="preserve">. </w:t>
      </w:r>
    </w:p>
    <w:p w14:paraId="05BBB09B" w14:textId="77777777" w:rsidR="00964150" w:rsidRPr="00B33DA7" w:rsidRDefault="00964150" w:rsidP="00964150">
      <w:pPr>
        <w:pStyle w:val="ListParagraph"/>
        <w:spacing w:before="100" w:beforeAutospacing="1" w:after="100" w:afterAutospacing="1"/>
        <w:jc w:val="both"/>
        <w:rPr>
          <w:rFonts w:ascii="Calibri" w:eastAsia="Times New Roman" w:hAnsi="Calibri" w:cs="Times New Roman"/>
          <w:sz w:val="22"/>
          <w:szCs w:val="22"/>
          <w:lang w:eastAsia="en-GB"/>
        </w:rPr>
      </w:pPr>
    </w:p>
    <w:p w14:paraId="2DD54D16" w14:textId="4036D14C" w:rsidR="00964150" w:rsidRPr="00B33DA7" w:rsidRDefault="00964150" w:rsidP="00E76EEF">
      <w:pPr>
        <w:pStyle w:val="ListParagraph"/>
        <w:numPr>
          <w:ilvl w:val="0"/>
          <w:numId w:val="6"/>
        </w:numPr>
        <w:spacing w:before="100" w:beforeAutospacing="1" w:after="100" w:afterAutospacing="1"/>
        <w:ind w:left="284" w:hanging="284"/>
        <w:jc w:val="both"/>
        <w:rPr>
          <w:rFonts w:ascii="Calibri" w:eastAsia="Times New Roman" w:hAnsi="Calibri" w:cs="Times New Roman"/>
          <w:sz w:val="22"/>
          <w:szCs w:val="22"/>
          <w:lang w:eastAsia="en-GB"/>
        </w:rPr>
      </w:pPr>
      <w:r w:rsidRPr="00B33DA7">
        <w:rPr>
          <w:rFonts w:ascii="Calibri" w:hAnsi="Calibri"/>
          <w:b/>
          <w:bCs/>
          <w:sz w:val="22"/>
          <w:szCs w:val="22"/>
        </w:rPr>
        <w:t xml:space="preserve">Risk Management </w:t>
      </w:r>
      <w:r w:rsidR="00BE6E91" w:rsidRPr="00B33DA7">
        <w:rPr>
          <w:rFonts w:ascii="Calibri" w:hAnsi="Calibri"/>
          <w:b/>
          <w:bCs/>
          <w:sz w:val="22"/>
          <w:szCs w:val="22"/>
        </w:rPr>
        <w:t xml:space="preserve">Documentation </w:t>
      </w:r>
      <w:r w:rsidRPr="00B33DA7">
        <w:rPr>
          <w:rFonts w:ascii="Calibri" w:hAnsi="Calibri"/>
          <w:b/>
          <w:bCs/>
          <w:sz w:val="22"/>
          <w:szCs w:val="22"/>
        </w:rPr>
        <w:t xml:space="preserve">   </w:t>
      </w:r>
    </w:p>
    <w:p w14:paraId="60E36A16" w14:textId="77777777" w:rsidR="001C39DA" w:rsidRPr="00B33DA7" w:rsidRDefault="00B905F8" w:rsidP="00E76EEF">
      <w:pPr>
        <w:pStyle w:val="NormalWeb"/>
        <w:shd w:val="clear" w:color="auto" w:fill="FFFFFF"/>
        <w:rPr>
          <w:rFonts w:asciiTheme="minorHAnsi" w:hAnsiTheme="minorHAnsi" w:cstheme="minorHAnsi"/>
          <w:color w:val="000000" w:themeColor="text1"/>
          <w:sz w:val="22"/>
          <w:szCs w:val="22"/>
        </w:rPr>
      </w:pPr>
      <w:r w:rsidRPr="00B33DA7">
        <w:rPr>
          <w:rFonts w:asciiTheme="minorHAnsi" w:hAnsiTheme="minorHAnsi" w:cstheme="minorHAnsi"/>
          <w:color w:val="000000" w:themeColor="text1"/>
          <w:sz w:val="22"/>
          <w:szCs w:val="22"/>
        </w:rPr>
        <w:t xml:space="preserve">The </w:t>
      </w:r>
      <w:r w:rsidR="00964150" w:rsidRPr="00B33DA7">
        <w:rPr>
          <w:rFonts w:asciiTheme="minorHAnsi" w:hAnsiTheme="minorHAnsi" w:cstheme="minorHAnsi"/>
          <w:color w:val="000000" w:themeColor="text1"/>
          <w:sz w:val="22"/>
          <w:szCs w:val="22"/>
        </w:rPr>
        <w:t xml:space="preserve">University’s </w:t>
      </w:r>
      <w:r w:rsidR="00BE6E91" w:rsidRPr="00B33DA7">
        <w:rPr>
          <w:rFonts w:asciiTheme="minorHAnsi" w:hAnsiTheme="minorHAnsi" w:cstheme="minorHAnsi"/>
          <w:color w:val="000000" w:themeColor="text1"/>
          <w:sz w:val="22"/>
          <w:szCs w:val="22"/>
        </w:rPr>
        <w:t xml:space="preserve">risk management documentation supports our risk management approach and reporting requirements. In addition to </w:t>
      </w:r>
      <w:r w:rsidR="001C39DA" w:rsidRPr="00B33DA7">
        <w:rPr>
          <w:rFonts w:asciiTheme="minorHAnsi" w:hAnsiTheme="minorHAnsi" w:cstheme="minorHAnsi"/>
          <w:color w:val="000000" w:themeColor="text1"/>
          <w:sz w:val="22"/>
          <w:szCs w:val="22"/>
        </w:rPr>
        <w:t>this guidance, key documents include:</w:t>
      </w:r>
    </w:p>
    <w:p w14:paraId="11FAE316" w14:textId="77777777" w:rsidR="001C39DA" w:rsidRPr="00B33DA7" w:rsidRDefault="00BE6E91" w:rsidP="00E76EEF">
      <w:pPr>
        <w:pStyle w:val="NormalWeb"/>
        <w:numPr>
          <w:ilvl w:val="0"/>
          <w:numId w:val="19"/>
        </w:numPr>
        <w:shd w:val="clear" w:color="auto" w:fill="FFFFFF"/>
        <w:ind w:left="709" w:hanging="283"/>
        <w:rPr>
          <w:rFonts w:asciiTheme="minorHAnsi" w:hAnsiTheme="minorHAnsi" w:cstheme="minorHAnsi"/>
          <w:color w:val="000000" w:themeColor="text1"/>
          <w:sz w:val="22"/>
          <w:szCs w:val="22"/>
        </w:rPr>
      </w:pPr>
      <w:r w:rsidRPr="00B33DA7">
        <w:rPr>
          <w:rFonts w:asciiTheme="minorHAnsi" w:hAnsiTheme="minorHAnsi" w:cstheme="minorHAnsi"/>
          <w:color w:val="000000" w:themeColor="text1"/>
          <w:sz w:val="22"/>
          <w:szCs w:val="22"/>
        </w:rPr>
        <w:t>Risk Appetite Statement</w:t>
      </w:r>
      <w:r w:rsidR="001C39DA" w:rsidRPr="00B33DA7">
        <w:rPr>
          <w:rFonts w:asciiTheme="minorHAnsi" w:hAnsiTheme="minorHAnsi" w:cstheme="minorHAnsi"/>
          <w:color w:val="000000" w:themeColor="text1"/>
          <w:sz w:val="22"/>
          <w:szCs w:val="22"/>
        </w:rPr>
        <w:t>;</w:t>
      </w:r>
    </w:p>
    <w:p w14:paraId="4B19B1F4" w14:textId="2E4A95CA" w:rsidR="001C39DA" w:rsidRPr="00B33DA7" w:rsidRDefault="00BE6E91" w:rsidP="00E76EEF">
      <w:pPr>
        <w:pStyle w:val="NormalWeb"/>
        <w:numPr>
          <w:ilvl w:val="0"/>
          <w:numId w:val="19"/>
        </w:numPr>
        <w:shd w:val="clear" w:color="auto" w:fill="FFFFFF"/>
        <w:ind w:left="709" w:hanging="283"/>
        <w:rPr>
          <w:rFonts w:asciiTheme="minorHAnsi" w:hAnsiTheme="minorHAnsi" w:cstheme="minorHAnsi"/>
          <w:color w:val="000000" w:themeColor="text1"/>
          <w:sz w:val="22"/>
          <w:szCs w:val="22"/>
        </w:rPr>
      </w:pPr>
      <w:r w:rsidRPr="00B33DA7">
        <w:rPr>
          <w:rFonts w:asciiTheme="minorHAnsi" w:hAnsiTheme="minorHAnsi" w:cstheme="minorHAnsi"/>
          <w:color w:val="000000" w:themeColor="text1"/>
          <w:sz w:val="22"/>
          <w:szCs w:val="22"/>
        </w:rPr>
        <w:t>Risk Management Policy</w:t>
      </w:r>
      <w:r w:rsidR="001C39DA" w:rsidRPr="00B33DA7">
        <w:rPr>
          <w:rFonts w:asciiTheme="minorHAnsi" w:hAnsiTheme="minorHAnsi" w:cstheme="minorHAnsi"/>
          <w:color w:val="000000" w:themeColor="text1"/>
          <w:sz w:val="22"/>
          <w:szCs w:val="22"/>
        </w:rPr>
        <w:t xml:space="preserve">; </w:t>
      </w:r>
    </w:p>
    <w:p w14:paraId="115D8BB8" w14:textId="2C07CD18" w:rsidR="001C39DA" w:rsidRPr="00B33DA7" w:rsidRDefault="001C39DA" w:rsidP="00E76EEF">
      <w:pPr>
        <w:pStyle w:val="NormalWeb"/>
        <w:numPr>
          <w:ilvl w:val="0"/>
          <w:numId w:val="19"/>
        </w:numPr>
        <w:shd w:val="clear" w:color="auto" w:fill="FFFFFF"/>
        <w:ind w:left="709" w:hanging="283"/>
        <w:rPr>
          <w:rFonts w:asciiTheme="minorHAnsi" w:hAnsiTheme="minorHAnsi" w:cstheme="minorHAnsi"/>
          <w:color w:val="000000" w:themeColor="text1"/>
          <w:sz w:val="22"/>
          <w:szCs w:val="22"/>
        </w:rPr>
      </w:pPr>
      <w:r w:rsidRPr="00B33DA7">
        <w:rPr>
          <w:rFonts w:asciiTheme="minorHAnsi" w:hAnsiTheme="minorHAnsi" w:cstheme="minorHAnsi"/>
          <w:color w:val="000000" w:themeColor="text1"/>
          <w:sz w:val="22"/>
          <w:szCs w:val="22"/>
        </w:rPr>
        <w:t xml:space="preserve">Register of Strategic Risks; and </w:t>
      </w:r>
    </w:p>
    <w:p w14:paraId="14DD86F8" w14:textId="290EF486" w:rsidR="00BE6E91" w:rsidRPr="00B33DA7" w:rsidRDefault="001C39DA" w:rsidP="00E76EEF">
      <w:pPr>
        <w:pStyle w:val="NormalWeb"/>
        <w:numPr>
          <w:ilvl w:val="0"/>
          <w:numId w:val="19"/>
        </w:numPr>
        <w:shd w:val="clear" w:color="auto" w:fill="FFFFFF"/>
        <w:ind w:left="709" w:hanging="283"/>
        <w:rPr>
          <w:rFonts w:asciiTheme="minorHAnsi" w:hAnsiTheme="minorHAnsi" w:cstheme="minorHAnsi"/>
          <w:color w:val="000000" w:themeColor="text1"/>
          <w:sz w:val="22"/>
          <w:szCs w:val="22"/>
        </w:rPr>
      </w:pPr>
      <w:r w:rsidRPr="00B33DA7">
        <w:rPr>
          <w:rFonts w:asciiTheme="minorHAnsi" w:hAnsiTheme="minorHAnsi" w:cstheme="minorHAnsi"/>
          <w:color w:val="000000" w:themeColor="text1"/>
          <w:sz w:val="22"/>
          <w:szCs w:val="22"/>
        </w:rPr>
        <w:t xml:space="preserve">Registers of Operational Risk.  </w:t>
      </w:r>
      <w:r w:rsidR="00BE6E91" w:rsidRPr="00B33DA7">
        <w:rPr>
          <w:rFonts w:asciiTheme="minorHAnsi" w:hAnsiTheme="minorHAnsi" w:cstheme="minorHAnsi"/>
          <w:color w:val="000000" w:themeColor="text1"/>
          <w:sz w:val="22"/>
          <w:szCs w:val="22"/>
        </w:rPr>
        <w:t xml:space="preserve"> </w:t>
      </w:r>
    </w:p>
    <w:p w14:paraId="6BFB3F08" w14:textId="77777777" w:rsidR="00175E53" w:rsidRDefault="00175E53" w:rsidP="00FD5212">
      <w:pPr>
        <w:spacing w:before="100" w:beforeAutospacing="1" w:after="100" w:afterAutospacing="1"/>
        <w:jc w:val="both"/>
        <w:rPr>
          <w:rFonts w:eastAsia="Times New Roman" w:cstheme="minorHAnsi"/>
          <w:b/>
          <w:bCs/>
          <w:sz w:val="22"/>
          <w:szCs w:val="22"/>
          <w:lang w:eastAsia="en-GB"/>
        </w:rPr>
      </w:pPr>
    </w:p>
    <w:p w14:paraId="4EC46240" w14:textId="77777777" w:rsidR="00175E53" w:rsidRDefault="00175E53" w:rsidP="00FD5212">
      <w:pPr>
        <w:spacing w:before="100" w:beforeAutospacing="1" w:after="100" w:afterAutospacing="1"/>
        <w:jc w:val="both"/>
        <w:rPr>
          <w:rFonts w:eastAsia="Times New Roman" w:cstheme="minorHAnsi"/>
          <w:b/>
          <w:bCs/>
          <w:sz w:val="22"/>
          <w:szCs w:val="22"/>
          <w:lang w:eastAsia="en-GB"/>
        </w:rPr>
      </w:pPr>
    </w:p>
    <w:p w14:paraId="7DA731B6" w14:textId="20AE0361" w:rsidR="00FD5212" w:rsidRPr="00FD5212" w:rsidRDefault="00FD5212" w:rsidP="00FD5212">
      <w:pPr>
        <w:spacing w:before="100" w:beforeAutospacing="1" w:after="100" w:afterAutospacing="1"/>
        <w:jc w:val="both"/>
        <w:rPr>
          <w:rFonts w:eastAsia="Times New Roman" w:cstheme="minorHAnsi"/>
          <w:b/>
          <w:bCs/>
          <w:sz w:val="22"/>
          <w:szCs w:val="22"/>
          <w:lang w:eastAsia="en-GB"/>
        </w:rPr>
      </w:pPr>
      <w:r w:rsidRPr="00FD5212">
        <w:rPr>
          <w:rFonts w:eastAsia="Times New Roman" w:cstheme="minorHAnsi"/>
          <w:b/>
          <w:bCs/>
          <w:sz w:val="22"/>
          <w:szCs w:val="22"/>
          <w:lang w:eastAsia="en-GB"/>
        </w:rPr>
        <w:t xml:space="preserve">Risk Appetite </w:t>
      </w:r>
    </w:p>
    <w:p w14:paraId="122AFF77"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Risk appetite can be defined as the level of risk that an organisation is prepared to tolerate in pursuit of its objectives. Factors such as the external environment, people, business systems and policies and how key stakeholders perceive the University will all influence risk appetite. </w:t>
      </w:r>
    </w:p>
    <w:p w14:paraId="169744E3"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lastRenderedPageBreak/>
        <w:t xml:space="preserve">Risk Management is not about being ‘risk averse’ – it is about being ‘risk aware’. Risk is ever present and some amount of risk taking is inevitable if the University is to achieve its objectives. Risk Management is about making the most of opportunities and achieving objectives. By being risk aware, employees can be confident in their abilities to make informed decisions. </w:t>
      </w:r>
    </w:p>
    <w:p w14:paraId="443A64F9"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There are four different stages to Risk Management: Identify, Evaluate, Manage and Review. </w:t>
      </w:r>
    </w:p>
    <w:p w14:paraId="0F407A41"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Stage 1 – Identify: </w:t>
      </w:r>
    </w:p>
    <w:p w14:paraId="379EC244"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The recognition of risks is necessary through identification of the nature of the risk and the circumstances in which it could materialise. Examples of the potential risks facing the University could include the following: </w:t>
      </w:r>
    </w:p>
    <w:p w14:paraId="608F7C73" w14:textId="77777777" w:rsidR="00FD5212" w:rsidRPr="00B33DA7" w:rsidRDefault="00FD5212" w:rsidP="00FD5212">
      <w:pPr>
        <w:pStyle w:val="ListParagraph"/>
        <w:numPr>
          <w:ilvl w:val="0"/>
          <w:numId w:val="12"/>
        </w:num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Inability to operate on campus (flood, power failure, fire etc); </w:t>
      </w:r>
    </w:p>
    <w:p w14:paraId="7BA62822" w14:textId="77777777" w:rsidR="00FD5212" w:rsidRPr="00B33DA7" w:rsidRDefault="00FD5212" w:rsidP="00FD5212">
      <w:pPr>
        <w:pStyle w:val="ListParagraph"/>
        <w:numPr>
          <w:ilvl w:val="0"/>
          <w:numId w:val="12"/>
        </w:num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Student dissatisfaction with our learning and teaching leads to a dramatic loss of income; and </w:t>
      </w:r>
    </w:p>
    <w:p w14:paraId="305E90D2" w14:textId="77777777" w:rsidR="00FD5212" w:rsidRPr="00B33DA7" w:rsidRDefault="00FD5212" w:rsidP="00FD5212">
      <w:pPr>
        <w:pStyle w:val="ListParagraph"/>
        <w:numPr>
          <w:ilvl w:val="0"/>
          <w:numId w:val="12"/>
        </w:num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Damage to reputation through negative media coverage. </w:t>
      </w:r>
    </w:p>
    <w:p w14:paraId="36E6947E"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Such risks are known as the “original risk” and all those responsible for risk must identify original risks faced by their department. </w:t>
      </w:r>
    </w:p>
    <w:p w14:paraId="46DB7533"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Stage 2 – Evaluate: </w:t>
      </w:r>
    </w:p>
    <w:p w14:paraId="6C2BEDAE" w14:textId="77777777" w:rsidR="00FD5212" w:rsidRPr="00B33DA7" w:rsidRDefault="00FD5212" w:rsidP="00FD5212">
      <w:pPr>
        <w:spacing w:before="100" w:beforeAutospacing="1" w:after="100" w:afterAutospacing="1"/>
        <w:jc w:val="both"/>
        <w:rPr>
          <w:rFonts w:eastAsia="Times New Roman" w:cstheme="minorHAnsi"/>
          <w:sz w:val="22"/>
          <w:szCs w:val="22"/>
          <w:lang w:eastAsia="en-GB"/>
        </w:rPr>
      </w:pPr>
      <w:r w:rsidRPr="00B33DA7">
        <w:rPr>
          <w:rFonts w:eastAsia="Times New Roman" w:cstheme="minorHAnsi"/>
          <w:sz w:val="22"/>
          <w:szCs w:val="22"/>
          <w:lang w:eastAsia="en-GB"/>
        </w:rPr>
        <w:t xml:space="preserve">All risks identified at stage 1 should be ranked or evaluated in terms of impact and likelihood to produce the original risk profile. </w:t>
      </w:r>
      <w:r w:rsidRPr="00867120">
        <w:rPr>
          <w:rFonts w:eastAsia="Times New Roman" w:cstheme="minorHAnsi"/>
          <w:sz w:val="22"/>
          <w:szCs w:val="22"/>
          <w:lang w:eastAsia="en-GB"/>
        </w:rPr>
        <w:t>Guidance on how to evaluate risks can be found below. When responding to risks identified, a decision must</w:t>
      </w:r>
      <w:r w:rsidRPr="00B33DA7">
        <w:rPr>
          <w:rFonts w:eastAsia="Times New Roman" w:cstheme="minorHAnsi"/>
          <w:sz w:val="22"/>
          <w:szCs w:val="22"/>
          <w:lang w:eastAsia="en-GB"/>
        </w:rPr>
        <w:t xml:space="preserve"> be taken as to the appropriate action to manage the risk, to do this we can use the following four options: </w:t>
      </w:r>
    </w:p>
    <w:p w14:paraId="6C4A2957" w14:textId="77777777" w:rsidR="00FD5212" w:rsidRPr="00B33DA7" w:rsidRDefault="00FD5212" w:rsidP="00FD5212">
      <w:pPr>
        <w:spacing w:before="100" w:beforeAutospacing="1" w:after="100" w:afterAutospacing="1"/>
        <w:jc w:val="both"/>
        <w:rPr>
          <w:rFonts w:eastAsia="Times New Roman" w:cstheme="minorHAnsi"/>
          <w:color w:val="000000" w:themeColor="text1"/>
          <w:sz w:val="22"/>
          <w:szCs w:val="22"/>
          <w:lang w:eastAsia="en-GB"/>
        </w:rPr>
      </w:pPr>
      <w:r w:rsidRPr="00B33DA7">
        <w:rPr>
          <w:rFonts w:eastAsia="Times New Roman" w:cstheme="minorHAnsi"/>
          <w:color w:val="000000" w:themeColor="text1"/>
          <w:sz w:val="22"/>
          <w:szCs w:val="22"/>
          <w:lang w:eastAsia="en-GB"/>
        </w:rPr>
        <w:t xml:space="preserve">Risk Mitigation Strategies:   </w:t>
      </w:r>
    </w:p>
    <w:p w14:paraId="7420D5A1" w14:textId="77777777" w:rsidR="00FD5212" w:rsidRPr="00B33DA7" w:rsidRDefault="00FD5212" w:rsidP="00FD5212">
      <w:pPr>
        <w:pStyle w:val="ListParagraph"/>
        <w:numPr>
          <w:ilvl w:val="0"/>
          <w:numId w:val="20"/>
        </w:numPr>
        <w:spacing w:before="100" w:beforeAutospacing="1" w:after="100" w:afterAutospacing="1"/>
        <w:jc w:val="both"/>
        <w:rPr>
          <w:rFonts w:eastAsia="Times New Roman" w:cstheme="minorHAnsi"/>
          <w:color w:val="000000" w:themeColor="text1"/>
          <w:sz w:val="22"/>
          <w:szCs w:val="22"/>
          <w:lang w:eastAsia="en-GB"/>
        </w:rPr>
      </w:pPr>
      <w:r w:rsidRPr="00B33DA7">
        <w:rPr>
          <w:rFonts w:eastAsia="Times New Roman" w:cstheme="minorHAnsi"/>
          <w:b/>
          <w:bCs/>
          <w:color w:val="000000" w:themeColor="text1"/>
          <w:sz w:val="22"/>
          <w:szCs w:val="22"/>
          <w:lang w:eastAsia="en-GB"/>
        </w:rPr>
        <w:t>Tolerate the risk</w:t>
      </w:r>
      <w:r w:rsidRPr="00B33DA7">
        <w:rPr>
          <w:rFonts w:eastAsia="Times New Roman" w:cstheme="minorHAnsi"/>
          <w:color w:val="000000" w:themeColor="text1"/>
          <w:sz w:val="22"/>
          <w:szCs w:val="22"/>
          <w:lang w:eastAsia="en-GB"/>
        </w:rPr>
        <w:t xml:space="preserve"> – </w:t>
      </w:r>
      <w:r w:rsidRPr="00B33DA7">
        <w:rPr>
          <w:color w:val="000000" w:themeColor="text1"/>
          <w:sz w:val="22"/>
          <w:szCs w:val="22"/>
        </w:rPr>
        <w:t xml:space="preserve">this involves accepting the risk without putting in place any controls to manage the risk, as it is considered to be of a tolerable level for the University, in </w:t>
      </w:r>
      <w:r w:rsidRPr="00B33DA7">
        <w:rPr>
          <w:rFonts w:eastAsia="Times New Roman" w:cs="Times New Roman"/>
          <w:color w:val="000000" w:themeColor="text1"/>
          <w:sz w:val="22"/>
          <w:szCs w:val="22"/>
          <w:lang w:eastAsia="en-GB"/>
        </w:rPr>
        <w:t xml:space="preserve">line with approved risk appetite. </w:t>
      </w:r>
    </w:p>
    <w:p w14:paraId="2AB07867" w14:textId="77777777" w:rsidR="00FD5212" w:rsidRPr="00B33DA7" w:rsidRDefault="00FD5212" w:rsidP="00FD5212">
      <w:pPr>
        <w:pStyle w:val="ListParagraph"/>
        <w:numPr>
          <w:ilvl w:val="0"/>
          <w:numId w:val="13"/>
        </w:numPr>
        <w:shd w:val="clear" w:color="auto" w:fill="FFFFFF"/>
        <w:spacing w:before="100" w:beforeAutospacing="1" w:after="100" w:afterAutospacing="1"/>
        <w:jc w:val="both"/>
        <w:rPr>
          <w:rFonts w:eastAsia="Times New Roman" w:cs="Times New Roman"/>
          <w:color w:val="000000" w:themeColor="text1"/>
          <w:sz w:val="22"/>
          <w:szCs w:val="22"/>
          <w:lang w:eastAsia="en-GB"/>
        </w:rPr>
      </w:pPr>
      <w:r w:rsidRPr="00B33DA7">
        <w:rPr>
          <w:rFonts w:eastAsia="Times New Roman" w:cstheme="minorHAnsi"/>
          <w:b/>
          <w:bCs/>
          <w:color w:val="000000" w:themeColor="text1"/>
          <w:sz w:val="22"/>
          <w:szCs w:val="22"/>
          <w:lang w:eastAsia="en-GB"/>
        </w:rPr>
        <w:t>Treat the risk</w:t>
      </w:r>
      <w:r w:rsidRPr="00B33DA7">
        <w:rPr>
          <w:rFonts w:eastAsia="Times New Roman" w:cstheme="minorHAnsi"/>
          <w:color w:val="000000" w:themeColor="text1"/>
          <w:sz w:val="22"/>
          <w:szCs w:val="22"/>
          <w:lang w:eastAsia="en-GB"/>
        </w:rPr>
        <w:t xml:space="preserve"> – </w:t>
      </w:r>
      <w:r w:rsidRPr="00B33DA7">
        <w:rPr>
          <w:rFonts w:eastAsia="Times New Roman" w:cs="Times New Roman"/>
          <w:color w:val="000000" w:themeColor="text1"/>
          <w:sz w:val="22"/>
          <w:szCs w:val="22"/>
          <w:lang w:eastAsia="en-GB"/>
        </w:rPr>
        <w:t xml:space="preserve">this involves accepting the risk but applying relevant control/mitigating action to reduce it to a risk appetite approved by the governing body. </w:t>
      </w:r>
    </w:p>
    <w:p w14:paraId="4F07C515" w14:textId="77777777" w:rsidR="00FD5212" w:rsidRPr="00B33DA7" w:rsidRDefault="00FD5212" w:rsidP="00FD5212">
      <w:pPr>
        <w:pStyle w:val="ListParagraph"/>
        <w:numPr>
          <w:ilvl w:val="0"/>
          <w:numId w:val="13"/>
        </w:numPr>
        <w:shd w:val="clear" w:color="auto" w:fill="FFFFFF"/>
        <w:spacing w:before="100" w:beforeAutospacing="1" w:after="100" w:afterAutospacing="1"/>
        <w:jc w:val="both"/>
        <w:rPr>
          <w:rFonts w:eastAsia="Times New Roman" w:cs="Times New Roman"/>
          <w:color w:val="000000" w:themeColor="text1"/>
          <w:sz w:val="22"/>
          <w:szCs w:val="22"/>
          <w:lang w:eastAsia="en-GB"/>
        </w:rPr>
      </w:pPr>
      <w:r w:rsidRPr="00B33DA7">
        <w:rPr>
          <w:rFonts w:eastAsia="Times New Roman" w:cstheme="minorHAnsi"/>
          <w:b/>
          <w:bCs/>
          <w:color w:val="000000" w:themeColor="text1"/>
          <w:sz w:val="22"/>
          <w:szCs w:val="22"/>
          <w:lang w:eastAsia="en-GB"/>
        </w:rPr>
        <w:t>Transfer the risk</w:t>
      </w:r>
      <w:r w:rsidRPr="00B33DA7">
        <w:rPr>
          <w:rFonts w:eastAsia="Times New Roman" w:cstheme="minorHAnsi"/>
          <w:color w:val="000000" w:themeColor="text1"/>
          <w:sz w:val="22"/>
          <w:szCs w:val="22"/>
          <w:lang w:eastAsia="en-GB"/>
        </w:rPr>
        <w:t xml:space="preserve"> – </w:t>
      </w:r>
      <w:r w:rsidRPr="00B33DA7">
        <w:rPr>
          <w:color w:val="000000" w:themeColor="text1"/>
          <w:sz w:val="22"/>
          <w:szCs w:val="22"/>
        </w:rPr>
        <w:t>this involves handling the risk elsewhere, either totally or in part, such as outsourcing the provision of services or</w:t>
      </w:r>
      <w:r w:rsidRPr="00B33DA7">
        <w:rPr>
          <w:color w:val="000000" w:themeColor="text1"/>
          <w:sz w:val="22"/>
          <w:szCs w:val="22"/>
        </w:rPr>
        <w:br/>
        <w:t>the use of insurance. Please note that the University will retain ultimate and certain levels of responsibility for risk management regardless of whether provision is outsourced elsewhere; and</w:t>
      </w:r>
    </w:p>
    <w:p w14:paraId="7820A346" w14:textId="77777777" w:rsidR="00FD5212" w:rsidRPr="00B33DA7" w:rsidRDefault="00FD5212" w:rsidP="00FD5212">
      <w:pPr>
        <w:pStyle w:val="ListParagraph"/>
        <w:numPr>
          <w:ilvl w:val="0"/>
          <w:numId w:val="13"/>
        </w:numPr>
        <w:shd w:val="clear" w:color="auto" w:fill="FFFFFF"/>
        <w:spacing w:before="100" w:beforeAutospacing="1" w:after="100" w:afterAutospacing="1"/>
        <w:jc w:val="both"/>
        <w:rPr>
          <w:rFonts w:eastAsia="Times New Roman" w:cs="Times New Roman"/>
          <w:color w:val="000000" w:themeColor="text1"/>
          <w:sz w:val="22"/>
          <w:szCs w:val="22"/>
          <w:lang w:eastAsia="en-GB"/>
        </w:rPr>
      </w:pPr>
      <w:r w:rsidRPr="00B33DA7">
        <w:rPr>
          <w:rFonts w:eastAsia="Times New Roman" w:cstheme="minorHAnsi"/>
          <w:b/>
          <w:bCs/>
          <w:color w:val="000000" w:themeColor="text1"/>
          <w:sz w:val="22"/>
          <w:szCs w:val="22"/>
          <w:lang w:eastAsia="en-GB"/>
        </w:rPr>
        <w:t>Terminate the risk</w:t>
      </w:r>
      <w:r w:rsidRPr="00B33DA7">
        <w:rPr>
          <w:rFonts w:eastAsia="Times New Roman" w:cstheme="minorHAnsi"/>
          <w:color w:val="000000" w:themeColor="text1"/>
          <w:sz w:val="22"/>
          <w:szCs w:val="22"/>
          <w:lang w:eastAsia="en-GB"/>
        </w:rPr>
        <w:t xml:space="preserve"> – </w:t>
      </w:r>
      <w:r w:rsidRPr="00B33DA7">
        <w:rPr>
          <w:color w:val="000000" w:themeColor="text1"/>
          <w:sz w:val="22"/>
          <w:szCs w:val="22"/>
        </w:rPr>
        <w:t xml:space="preserve">this involves eliminating the risk entirely by ceasing the activity or changing the strategy of the University. </w:t>
      </w:r>
    </w:p>
    <w:p w14:paraId="17249CCF" w14:textId="4360EE3B" w:rsidR="00FD5212" w:rsidRPr="00867120" w:rsidRDefault="00FD5212" w:rsidP="009F79C1">
      <w:pPr>
        <w:spacing w:before="100" w:beforeAutospacing="1" w:after="100" w:afterAutospacing="1"/>
        <w:jc w:val="both"/>
        <w:rPr>
          <w:rFonts w:ascii="Calibri" w:eastAsia="Times New Roman" w:hAnsi="Calibri" w:cs="Times New Roman"/>
          <w:color w:val="000000" w:themeColor="text1"/>
          <w:sz w:val="22"/>
          <w:szCs w:val="22"/>
          <w:lang w:eastAsia="en-GB"/>
        </w:rPr>
      </w:pPr>
      <w:r w:rsidRPr="00B33DA7">
        <w:rPr>
          <w:rFonts w:eastAsia="Times New Roman" w:cstheme="minorHAnsi"/>
          <w:sz w:val="22"/>
          <w:szCs w:val="22"/>
          <w:lang w:eastAsia="en-GB"/>
        </w:rPr>
        <w:t xml:space="preserve">Once a decision on the treatment of the risk has been reached, this must be recorded in a risk register. The profile scoring of the risk identified must also be assessed. </w:t>
      </w:r>
      <w:r w:rsidR="009F79C1">
        <w:rPr>
          <w:rFonts w:eastAsia="Times New Roman" w:cstheme="minorHAnsi"/>
          <w:sz w:val="22"/>
          <w:szCs w:val="22"/>
          <w:lang w:eastAsia="en-GB"/>
        </w:rPr>
        <w:t xml:space="preserve"> </w:t>
      </w:r>
      <w:r w:rsidRPr="00B33DA7">
        <w:rPr>
          <w:rFonts w:eastAsia="Times New Roman" w:cstheme="minorHAnsi"/>
          <w:sz w:val="22"/>
          <w:szCs w:val="22"/>
          <w:lang w:eastAsia="en-GB"/>
        </w:rPr>
        <w:t xml:space="preserve">The University uses a 5x5 risk matrix which displays graphically the likelihood and consequence of any risk and score that is recorded in the risk register. </w:t>
      </w:r>
      <w:r w:rsidRPr="00867120">
        <w:rPr>
          <w:rFonts w:ascii="Calibri" w:eastAsia="Times New Roman" w:hAnsi="Calibri" w:cs="Times New Roman"/>
          <w:color w:val="000000" w:themeColor="text1"/>
          <w:sz w:val="22"/>
          <w:szCs w:val="22"/>
          <w:lang w:eastAsia="en-GB"/>
        </w:rPr>
        <w:t xml:space="preserve">Risk scoring matrices can be used in order to illustrate and make judgements upon the evaluated risk scores. </w:t>
      </w:r>
    </w:p>
    <w:p w14:paraId="72A065B9" w14:textId="77777777" w:rsidR="00FD5212" w:rsidRPr="00867120" w:rsidRDefault="00FD5212" w:rsidP="00FD5212">
      <w:pPr>
        <w:spacing w:before="100" w:beforeAutospacing="1" w:after="100" w:afterAutospacing="1"/>
        <w:rPr>
          <w:rFonts w:ascii="Calibri" w:eastAsia="Times New Roman" w:hAnsi="Calibri" w:cs="Times New Roman"/>
          <w:color w:val="000000" w:themeColor="text1"/>
          <w:sz w:val="22"/>
          <w:szCs w:val="22"/>
          <w:lang w:eastAsia="en-GB"/>
        </w:rPr>
      </w:pPr>
      <w:r w:rsidRPr="00867120">
        <w:rPr>
          <w:rFonts w:ascii="Calibri" w:eastAsia="Times New Roman" w:hAnsi="Calibri" w:cs="Times New Roman"/>
          <w:color w:val="000000" w:themeColor="text1"/>
          <w:sz w:val="22"/>
          <w:szCs w:val="22"/>
          <w:lang w:eastAsia="en-GB"/>
        </w:rPr>
        <w:t xml:space="preserve">The example matrix provides a traffic light system representing where </w:t>
      </w:r>
      <w:r>
        <w:rPr>
          <w:rFonts w:ascii="Calibri" w:eastAsia="Times New Roman" w:hAnsi="Calibri" w:cs="Times New Roman"/>
          <w:color w:val="000000" w:themeColor="text1"/>
          <w:sz w:val="22"/>
          <w:szCs w:val="22"/>
          <w:lang w:eastAsia="en-GB"/>
        </w:rPr>
        <w:t xml:space="preserve">critical (red), </w:t>
      </w:r>
      <w:r w:rsidRPr="00867120">
        <w:rPr>
          <w:rFonts w:ascii="Calibri" w:eastAsia="Times New Roman" w:hAnsi="Calibri" w:cs="Times New Roman"/>
          <w:color w:val="000000" w:themeColor="text1"/>
          <w:sz w:val="22"/>
          <w:szCs w:val="22"/>
          <w:lang w:eastAsia="en-GB"/>
        </w:rPr>
        <w:t>high (</w:t>
      </w:r>
      <w:r>
        <w:rPr>
          <w:rFonts w:ascii="Calibri" w:eastAsia="Times New Roman" w:hAnsi="Calibri" w:cs="Times New Roman"/>
          <w:color w:val="000000" w:themeColor="text1"/>
          <w:sz w:val="22"/>
          <w:szCs w:val="22"/>
          <w:lang w:eastAsia="en-GB"/>
        </w:rPr>
        <w:t>amber</w:t>
      </w:r>
      <w:r w:rsidRPr="00867120">
        <w:rPr>
          <w:rFonts w:ascii="Calibri" w:eastAsia="Times New Roman" w:hAnsi="Calibri" w:cs="Times New Roman"/>
          <w:color w:val="000000" w:themeColor="text1"/>
          <w:sz w:val="22"/>
          <w:szCs w:val="22"/>
          <w:lang w:eastAsia="en-GB"/>
        </w:rPr>
        <w:t>), m</w:t>
      </w:r>
      <w:r>
        <w:rPr>
          <w:rFonts w:ascii="Calibri" w:eastAsia="Times New Roman" w:hAnsi="Calibri" w:cs="Times New Roman"/>
          <w:color w:val="000000" w:themeColor="text1"/>
          <w:sz w:val="22"/>
          <w:szCs w:val="22"/>
          <w:lang w:eastAsia="en-GB"/>
        </w:rPr>
        <w:t>oderate</w:t>
      </w:r>
      <w:r w:rsidRPr="00867120">
        <w:rPr>
          <w:rFonts w:ascii="Calibri" w:eastAsia="Times New Roman" w:hAnsi="Calibri" w:cs="Times New Roman"/>
          <w:color w:val="000000" w:themeColor="text1"/>
          <w:sz w:val="22"/>
          <w:szCs w:val="22"/>
          <w:lang w:eastAsia="en-GB"/>
        </w:rPr>
        <w:t xml:space="preserve"> (</w:t>
      </w:r>
      <w:r>
        <w:rPr>
          <w:rFonts w:ascii="Calibri" w:eastAsia="Times New Roman" w:hAnsi="Calibri" w:cs="Times New Roman"/>
          <w:color w:val="000000" w:themeColor="text1"/>
          <w:sz w:val="22"/>
          <w:szCs w:val="22"/>
          <w:lang w:eastAsia="en-GB"/>
        </w:rPr>
        <w:t xml:space="preserve">yellow) </w:t>
      </w:r>
      <w:r w:rsidRPr="00867120">
        <w:rPr>
          <w:rFonts w:ascii="Calibri" w:eastAsia="Times New Roman" w:hAnsi="Calibri" w:cs="Times New Roman"/>
          <w:color w:val="000000" w:themeColor="text1"/>
          <w:sz w:val="22"/>
          <w:szCs w:val="22"/>
          <w:lang w:eastAsia="en-GB"/>
        </w:rPr>
        <w:t xml:space="preserve">and low (green) level risks may fall. </w:t>
      </w:r>
    </w:p>
    <w:p w14:paraId="0E6B50B6" w14:textId="1BA4DEB8" w:rsidR="00FD5212" w:rsidRDefault="00175E53" w:rsidP="00FD5212">
      <w:pPr>
        <w:spacing w:before="100" w:beforeAutospacing="1" w:after="100" w:afterAutospacing="1"/>
        <w:rPr>
          <w:rFonts w:eastAsia="Times New Roman" w:cs="Times New Roman"/>
          <w:b/>
          <w:bCs/>
          <w:sz w:val="22"/>
          <w:szCs w:val="22"/>
          <w:lang w:eastAsia="en-GB"/>
        </w:rPr>
      </w:pPr>
      <w:r>
        <w:rPr>
          <w:rFonts w:eastAsia="Times New Roman" w:cs="Times New Roman"/>
          <w:b/>
          <w:bCs/>
          <w:sz w:val="22"/>
          <w:szCs w:val="22"/>
          <w:lang w:eastAsia="en-GB"/>
        </w:rPr>
        <w:lastRenderedPageBreak/>
        <w:t>E</w:t>
      </w:r>
      <w:r w:rsidR="00FD5212" w:rsidRPr="00B33DA7">
        <w:rPr>
          <w:rFonts w:eastAsia="Times New Roman" w:cs="Times New Roman"/>
          <w:b/>
          <w:bCs/>
          <w:sz w:val="22"/>
          <w:szCs w:val="22"/>
          <w:lang w:eastAsia="en-GB"/>
        </w:rPr>
        <w:t xml:space="preserve">xample of a 5x5 risk matrix: </w:t>
      </w:r>
    </w:p>
    <w:tbl>
      <w:tblPr>
        <w:tblStyle w:val="TableGrid"/>
        <w:tblW w:w="9067" w:type="dxa"/>
        <w:tblLayout w:type="fixed"/>
        <w:tblLook w:val="04A0" w:firstRow="1" w:lastRow="0" w:firstColumn="1" w:lastColumn="0" w:noHBand="0" w:noVBand="1"/>
      </w:tblPr>
      <w:tblGrid>
        <w:gridCol w:w="1838"/>
        <w:gridCol w:w="1418"/>
        <w:gridCol w:w="1417"/>
        <w:gridCol w:w="1418"/>
        <w:gridCol w:w="1275"/>
        <w:gridCol w:w="1701"/>
      </w:tblGrid>
      <w:tr w:rsidR="00B1510F" w:rsidRPr="00B33DA7" w14:paraId="2AC729FA" w14:textId="77777777" w:rsidTr="009B70BE">
        <w:tc>
          <w:tcPr>
            <w:tcW w:w="1838" w:type="dxa"/>
            <w:tcBorders>
              <w:top w:val="nil"/>
              <w:left w:val="nil"/>
              <w:bottom w:val="single" w:sz="4" w:space="0" w:color="auto"/>
              <w:right w:val="single" w:sz="4" w:space="0" w:color="auto"/>
            </w:tcBorders>
          </w:tcPr>
          <w:p w14:paraId="67CEE884" w14:textId="77777777" w:rsidR="00B1510F" w:rsidRPr="00B33DA7" w:rsidRDefault="00B1510F" w:rsidP="005E3271">
            <w:pPr>
              <w:spacing w:before="100" w:beforeAutospacing="1" w:after="100" w:afterAutospacing="1"/>
              <w:rPr>
                <w:rFonts w:eastAsia="Times New Roman" w:cs="Times New Roman"/>
                <w:sz w:val="18"/>
                <w:szCs w:val="18"/>
              </w:rPr>
            </w:pPr>
            <w:bookmarkStart w:id="0" w:name="_Hlk111710517"/>
          </w:p>
        </w:tc>
        <w:tc>
          <w:tcPr>
            <w:tcW w:w="1418" w:type="dxa"/>
            <w:tcBorders>
              <w:top w:val="single" w:sz="4" w:space="0" w:color="auto"/>
              <w:left w:val="single" w:sz="4" w:space="0" w:color="auto"/>
              <w:bottom w:val="single" w:sz="4" w:space="0" w:color="auto"/>
              <w:right w:val="nil"/>
            </w:tcBorders>
          </w:tcPr>
          <w:p w14:paraId="3CB772AB" w14:textId="77405AAE" w:rsidR="00B1510F" w:rsidRPr="00B33DA7" w:rsidRDefault="00B1510F" w:rsidP="005E3271">
            <w:pPr>
              <w:spacing w:before="100" w:beforeAutospacing="1" w:after="100" w:afterAutospacing="1"/>
              <w:jc w:val="center"/>
              <w:rPr>
                <w:rFonts w:eastAsia="Times New Roman" w:cs="Times New Roman"/>
                <w:b/>
                <w:bCs/>
                <w:sz w:val="18"/>
                <w:szCs w:val="18"/>
              </w:rPr>
            </w:pPr>
          </w:p>
        </w:tc>
        <w:tc>
          <w:tcPr>
            <w:tcW w:w="1417" w:type="dxa"/>
            <w:tcBorders>
              <w:top w:val="single" w:sz="4" w:space="0" w:color="auto"/>
              <w:left w:val="nil"/>
              <w:bottom w:val="single" w:sz="4" w:space="0" w:color="auto"/>
              <w:right w:val="nil"/>
            </w:tcBorders>
          </w:tcPr>
          <w:p w14:paraId="64B6DD24" w14:textId="77777777" w:rsidR="00B1510F" w:rsidRPr="00B33DA7" w:rsidRDefault="00B1510F" w:rsidP="005E3271">
            <w:pPr>
              <w:spacing w:before="100" w:beforeAutospacing="1" w:after="100" w:afterAutospacing="1"/>
              <w:jc w:val="center"/>
              <w:rPr>
                <w:rFonts w:eastAsia="Times New Roman" w:cs="Times New Roman"/>
                <w:b/>
                <w:bCs/>
                <w:sz w:val="18"/>
                <w:szCs w:val="18"/>
              </w:rPr>
            </w:pPr>
          </w:p>
        </w:tc>
        <w:tc>
          <w:tcPr>
            <w:tcW w:w="1418" w:type="dxa"/>
            <w:tcBorders>
              <w:top w:val="single" w:sz="4" w:space="0" w:color="auto"/>
              <w:left w:val="nil"/>
              <w:bottom w:val="single" w:sz="4" w:space="0" w:color="auto"/>
              <w:right w:val="nil"/>
            </w:tcBorders>
          </w:tcPr>
          <w:p w14:paraId="564E91CF" w14:textId="297D004A" w:rsidR="00B1510F" w:rsidRPr="00B33DA7" w:rsidRDefault="00B1510F" w:rsidP="005E3271">
            <w:pPr>
              <w:spacing w:before="100" w:beforeAutospacing="1" w:after="100" w:afterAutospacing="1"/>
              <w:jc w:val="center"/>
              <w:rPr>
                <w:rFonts w:eastAsia="Times New Roman" w:cs="Times New Roman"/>
                <w:b/>
                <w:bCs/>
                <w:sz w:val="18"/>
                <w:szCs w:val="18"/>
              </w:rPr>
            </w:pPr>
            <w:r w:rsidRPr="00B33DA7">
              <w:rPr>
                <w:rFonts w:eastAsia="Times New Roman" w:cs="Times New Roman"/>
                <w:b/>
                <w:bCs/>
                <w:sz w:val="18"/>
                <w:szCs w:val="18"/>
              </w:rPr>
              <w:t>Likelihood</w:t>
            </w:r>
          </w:p>
        </w:tc>
        <w:tc>
          <w:tcPr>
            <w:tcW w:w="1275" w:type="dxa"/>
            <w:tcBorders>
              <w:top w:val="single" w:sz="4" w:space="0" w:color="auto"/>
              <w:left w:val="nil"/>
              <w:bottom w:val="single" w:sz="4" w:space="0" w:color="auto"/>
              <w:right w:val="nil"/>
            </w:tcBorders>
          </w:tcPr>
          <w:p w14:paraId="1F3C82F9" w14:textId="77777777" w:rsidR="00B1510F" w:rsidRPr="00B33DA7" w:rsidRDefault="00B1510F" w:rsidP="005E3271">
            <w:pPr>
              <w:spacing w:before="100" w:beforeAutospacing="1" w:after="100" w:afterAutospacing="1"/>
              <w:jc w:val="center"/>
              <w:rPr>
                <w:rFonts w:eastAsia="Times New Roman" w:cs="Times New Roman"/>
                <w:b/>
                <w:bCs/>
                <w:sz w:val="18"/>
                <w:szCs w:val="18"/>
              </w:rPr>
            </w:pPr>
          </w:p>
        </w:tc>
        <w:tc>
          <w:tcPr>
            <w:tcW w:w="1701" w:type="dxa"/>
            <w:tcBorders>
              <w:top w:val="single" w:sz="4" w:space="0" w:color="auto"/>
              <w:left w:val="nil"/>
              <w:bottom w:val="single" w:sz="4" w:space="0" w:color="auto"/>
              <w:right w:val="single" w:sz="4" w:space="0" w:color="auto"/>
            </w:tcBorders>
          </w:tcPr>
          <w:p w14:paraId="07BAF7F5" w14:textId="057A37B3" w:rsidR="00B1510F" w:rsidRPr="00B33DA7" w:rsidRDefault="00B1510F" w:rsidP="005E3271">
            <w:pPr>
              <w:spacing w:before="100" w:beforeAutospacing="1" w:after="100" w:afterAutospacing="1"/>
              <w:jc w:val="center"/>
              <w:rPr>
                <w:rFonts w:eastAsia="Times New Roman" w:cs="Times New Roman"/>
                <w:b/>
                <w:bCs/>
                <w:sz w:val="18"/>
                <w:szCs w:val="18"/>
              </w:rPr>
            </w:pPr>
          </w:p>
        </w:tc>
      </w:tr>
      <w:tr w:rsidR="00151923" w:rsidRPr="00B33DA7" w14:paraId="5903BCE1" w14:textId="77777777" w:rsidTr="009B70BE">
        <w:tc>
          <w:tcPr>
            <w:tcW w:w="1838" w:type="dxa"/>
            <w:tcBorders>
              <w:top w:val="single" w:sz="4" w:space="0" w:color="auto"/>
            </w:tcBorders>
          </w:tcPr>
          <w:p w14:paraId="35A22999" w14:textId="77777777" w:rsidR="00151923" w:rsidRPr="00B33DA7" w:rsidRDefault="00151923" w:rsidP="005E3271">
            <w:pPr>
              <w:spacing w:before="100" w:beforeAutospacing="1" w:after="100" w:afterAutospacing="1"/>
              <w:rPr>
                <w:rFonts w:eastAsia="Times New Roman" w:cs="Times New Roman"/>
                <w:sz w:val="18"/>
                <w:szCs w:val="18"/>
              </w:rPr>
            </w:pPr>
          </w:p>
        </w:tc>
        <w:tc>
          <w:tcPr>
            <w:tcW w:w="1418" w:type="dxa"/>
            <w:tcBorders>
              <w:top w:val="single" w:sz="4" w:space="0" w:color="auto"/>
            </w:tcBorders>
          </w:tcPr>
          <w:p w14:paraId="29229AE4"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1</w:t>
            </w:r>
          </w:p>
        </w:tc>
        <w:tc>
          <w:tcPr>
            <w:tcW w:w="1417" w:type="dxa"/>
            <w:tcBorders>
              <w:top w:val="single" w:sz="4" w:space="0" w:color="auto"/>
            </w:tcBorders>
          </w:tcPr>
          <w:p w14:paraId="2F9CDB2B"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2</w:t>
            </w:r>
          </w:p>
        </w:tc>
        <w:tc>
          <w:tcPr>
            <w:tcW w:w="1418" w:type="dxa"/>
            <w:tcBorders>
              <w:top w:val="single" w:sz="4" w:space="0" w:color="auto"/>
            </w:tcBorders>
          </w:tcPr>
          <w:p w14:paraId="2F90DF42"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3</w:t>
            </w:r>
          </w:p>
        </w:tc>
        <w:tc>
          <w:tcPr>
            <w:tcW w:w="1275" w:type="dxa"/>
            <w:tcBorders>
              <w:top w:val="single" w:sz="4" w:space="0" w:color="auto"/>
            </w:tcBorders>
          </w:tcPr>
          <w:p w14:paraId="63D1AA43"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4</w:t>
            </w:r>
          </w:p>
        </w:tc>
        <w:tc>
          <w:tcPr>
            <w:tcW w:w="1701" w:type="dxa"/>
            <w:tcBorders>
              <w:top w:val="single" w:sz="4" w:space="0" w:color="auto"/>
            </w:tcBorders>
          </w:tcPr>
          <w:p w14:paraId="7D7DAA85"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5</w:t>
            </w:r>
          </w:p>
        </w:tc>
      </w:tr>
      <w:tr w:rsidR="00151923" w:rsidRPr="00B33DA7" w14:paraId="4892D65E" w14:textId="77777777" w:rsidTr="005E3271">
        <w:tc>
          <w:tcPr>
            <w:tcW w:w="1838" w:type="dxa"/>
            <w:vAlign w:val="center"/>
          </w:tcPr>
          <w:p w14:paraId="7F71FAA5" w14:textId="77777777" w:rsidR="00151923" w:rsidRPr="00B33DA7" w:rsidRDefault="00151923" w:rsidP="005E3271">
            <w:pPr>
              <w:spacing w:before="100" w:beforeAutospacing="1" w:after="100" w:afterAutospacing="1"/>
              <w:jc w:val="center"/>
              <w:rPr>
                <w:rFonts w:eastAsia="Times New Roman" w:cs="Times New Roman"/>
                <w:b/>
                <w:bCs/>
                <w:sz w:val="18"/>
                <w:szCs w:val="18"/>
              </w:rPr>
            </w:pPr>
            <w:r w:rsidRPr="00B33DA7">
              <w:rPr>
                <w:rFonts w:eastAsia="Times New Roman" w:cs="Times New Roman"/>
                <w:b/>
                <w:bCs/>
                <w:sz w:val="18"/>
                <w:szCs w:val="18"/>
              </w:rPr>
              <w:t>Consequence and time to recover</w:t>
            </w:r>
          </w:p>
        </w:tc>
        <w:tc>
          <w:tcPr>
            <w:tcW w:w="1418" w:type="dxa"/>
          </w:tcPr>
          <w:p w14:paraId="52A99642"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Rare (&lt;10%)</w:t>
            </w:r>
          </w:p>
        </w:tc>
        <w:tc>
          <w:tcPr>
            <w:tcW w:w="1417" w:type="dxa"/>
          </w:tcPr>
          <w:p w14:paraId="4EF647CE"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Unlikely</w:t>
            </w:r>
            <w:r>
              <w:rPr>
                <w:rFonts w:eastAsia="Times New Roman" w:cs="Times New Roman"/>
                <w:b/>
                <w:bCs/>
                <w:sz w:val="18"/>
                <w:szCs w:val="18"/>
              </w:rPr>
              <w:t xml:space="preserve"> </w:t>
            </w:r>
            <w:r w:rsidRPr="00B33DA7">
              <w:rPr>
                <w:rFonts w:eastAsia="Times New Roman" w:cs="Times New Roman"/>
                <w:b/>
                <w:bCs/>
                <w:sz w:val="18"/>
                <w:szCs w:val="18"/>
              </w:rPr>
              <w:t>(10-30%)</w:t>
            </w:r>
          </w:p>
        </w:tc>
        <w:tc>
          <w:tcPr>
            <w:tcW w:w="1418" w:type="dxa"/>
          </w:tcPr>
          <w:p w14:paraId="592D7DE7"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Moderate (31-50%)</w:t>
            </w:r>
          </w:p>
        </w:tc>
        <w:tc>
          <w:tcPr>
            <w:tcW w:w="1275" w:type="dxa"/>
          </w:tcPr>
          <w:p w14:paraId="4143FF7A"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Likely (51-80%)</w:t>
            </w:r>
          </w:p>
        </w:tc>
        <w:tc>
          <w:tcPr>
            <w:tcW w:w="1701" w:type="dxa"/>
          </w:tcPr>
          <w:p w14:paraId="68ACCF1F" w14:textId="77777777" w:rsidR="00151923" w:rsidRPr="00B33DA7" w:rsidRDefault="00151923"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Almost Certain (&gt;80%)</w:t>
            </w:r>
          </w:p>
        </w:tc>
      </w:tr>
      <w:tr w:rsidR="00B1510F" w:rsidRPr="00B33DA7" w14:paraId="793F2CEC" w14:textId="77777777" w:rsidTr="002F2218">
        <w:tc>
          <w:tcPr>
            <w:tcW w:w="1838" w:type="dxa"/>
          </w:tcPr>
          <w:p w14:paraId="7F05C85E" w14:textId="69D6099A" w:rsidR="00B1510F" w:rsidRPr="00B33DA7" w:rsidRDefault="00B1510F"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1</w:t>
            </w:r>
            <w:r>
              <w:rPr>
                <w:rFonts w:eastAsia="Times New Roman" w:cs="Times New Roman"/>
                <w:b/>
                <w:bCs/>
                <w:sz w:val="18"/>
                <w:szCs w:val="18"/>
              </w:rPr>
              <w:t xml:space="preserve"> </w:t>
            </w:r>
            <w:r w:rsidRPr="00B33DA7">
              <w:rPr>
                <w:rFonts w:eastAsia="Times New Roman" w:cs="Times New Roman"/>
                <w:b/>
                <w:bCs/>
                <w:sz w:val="18"/>
                <w:szCs w:val="18"/>
              </w:rPr>
              <w:t>Insignificant</w:t>
            </w:r>
          </w:p>
        </w:tc>
        <w:tc>
          <w:tcPr>
            <w:tcW w:w="1418" w:type="dxa"/>
            <w:shd w:val="clear" w:color="auto" w:fill="00B050"/>
          </w:tcPr>
          <w:p w14:paraId="1BE4A840"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 – low</w:t>
            </w:r>
          </w:p>
        </w:tc>
        <w:tc>
          <w:tcPr>
            <w:tcW w:w="1417" w:type="dxa"/>
            <w:shd w:val="clear" w:color="auto" w:fill="00B050"/>
          </w:tcPr>
          <w:p w14:paraId="2E175A85"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2 – low</w:t>
            </w:r>
          </w:p>
        </w:tc>
        <w:tc>
          <w:tcPr>
            <w:tcW w:w="1418" w:type="dxa"/>
            <w:shd w:val="clear" w:color="auto" w:fill="00B050"/>
          </w:tcPr>
          <w:p w14:paraId="50F86DCB"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3 – low</w:t>
            </w:r>
          </w:p>
        </w:tc>
        <w:tc>
          <w:tcPr>
            <w:tcW w:w="1275" w:type="dxa"/>
            <w:shd w:val="clear" w:color="auto" w:fill="00B050"/>
          </w:tcPr>
          <w:p w14:paraId="6598D78A"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4 – low</w:t>
            </w:r>
          </w:p>
        </w:tc>
        <w:tc>
          <w:tcPr>
            <w:tcW w:w="1701" w:type="dxa"/>
            <w:tcBorders>
              <w:bottom w:val="single" w:sz="24" w:space="0" w:color="auto"/>
            </w:tcBorders>
            <w:shd w:val="clear" w:color="auto" w:fill="FFFF00"/>
          </w:tcPr>
          <w:p w14:paraId="3391BE52"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5 – moderate</w:t>
            </w:r>
          </w:p>
        </w:tc>
      </w:tr>
      <w:tr w:rsidR="00B1510F" w:rsidRPr="00B33DA7" w14:paraId="1B4A1A5F" w14:textId="77777777" w:rsidTr="003D5437">
        <w:tc>
          <w:tcPr>
            <w:tcW w:w="1838" w:type="dxa"/>
          </w:tcPr>
          <w:p w14:paraId="52614C9F" w14:textId="59D9B2B2" w:rsidR="00B1510F" w:rsidRPr="00B33DA7" w:rsidRDefault="00B1510F"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2</w:t>
            </w:r>
            <w:r>
              <w:rPr>
                <w:rFonts w:eastAsia="Times New Roman" w:cs="Times New Roman"/>
                <w:b/>
                <w:bCs/>
                <w:sz w:val="18"/>
                <w:szCs w:val="18"/>
              </w:rPr>
              <w:t xml:space="preserve"> </w:t>
            </w:r>
            <w:r w:rsidRPr="00B33DA7">
              <w:rPr>
                <w:rFonts w:eastAsia="Times New Roman" w:cs="Times New Roman"/>
                <w:b/>
                <w:bCs/>
                <w:sz w:val="18"/>
                <w:szCs w:val="18"/>
              </w:rPr>
              <w:t>Minor</w:t>
            </w:r>
          </w:p>
        </w:tc>
        <w:tc>
          <w:tcPr>
            <w:tcW w:w="1418" w:type="dxa"/>
            <w:shd w:val="clear" w:color="auto" w:fill="00B050"/>
          </w:tcPr>
          <w:p w14:paraId="79C55C68"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2 – low</w:t>
            </w:r>
          </w:p>
        </w:tc>
        <w:tc>
          <w:tcPr>
            <w:tcW w:w="1417" w:type="dxa"/>
            <w:shd w:val="clear" w:color="auto" w:fill="00B050"/>
          </w:tcPr>
          <w:p w14:paraId="2376EA29"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4 – low</w:t>
            </w:r>
          </w:p>
        </w:tc>
        <w:tc>
          <w:tcPr>
            <w:tcW w:w="1418" w:type="dxa"/>
            <w:shd w:val="clear" w:color="auto" w:fill="FFFF00"/>
          </w:tcPr>
          <w:p w14:paraId="2401DB6C"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6 – moderate</w:t>
            </w:r>
          </w:p>
        </w:tc>
        <w:tc>
          <w:tcPr>
            <w:tcW w:w="1275" w:type="dxa"/>
            <w:tcBorders>
              <w:bottom w:val="single" w:sz="24" w:space="0" w:color="auto"/>
              <w:right w:val="single" w:sz="24" w:space="0" w:color="auto"/>
            </w:tcBorders>
            <w:shd w:val="clear" w:color="auto" w:fill="FFFF00"/>
          </w:tcPr>
          <w:p w14:paraId="764B7E5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8 – moderate</w:t>
            </w:r>
          </w:p>
        </w:tc>
        <w:tc>
          <w:tcPr>
            <w:tcW w:w="1701" w:type="dxa"/>
            <w:tcBorders>
              <w:top w:val="single" w:sz="24" w:space="0" w:color="auto"/>
              <w:left w:val="single" w:sz="24" w:space="0" w:color="auto"/>
            </w:tcBorders>
            <w:shd w:val="clear" w:color="auto" w:fill="FFC000"/>
          </w:tcPr>
          <w:p w14:paraId="493BEEE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10 – high</w:t>
            </w:r>
          </w:p>
        </w:tc>
      </w:tr>
      <w:tr w:rsidR="00B1510F" w:rsidRPr="00B33DA7" w14:paraId="15D75853" w14:textId="77777777" w:rsidTr="006B1D3C">
        <w:tc>
          <w:tcPr>
            <w:tcW w:w="1838" w:type="dxa"/>
          </w:tcPr>
          <w:p w14:paraId="7EE0F588" w14:textId="4C8CE3C2" w:rsidR="00B1510F" w:rsidRPr="00B33DA7" w:rsidRDefault="00B1510F"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3</w:t>
            </w:r>
            <w:r>
              <w:rPr>
                <w:rFonts w:eastAsia="Times New Roman" w:cs="Times New Roman"/>
                <w:b/>
                <w:bCs/>
                <w:sz w:val="18"/>
                <w:szCs w:val="18"/>
              </w:rPr>
              <w:t xml:space="preserve"> </w:t>
            </w:r>
            <w:r w:rsidRPr="00B33DA7">
              <w:rPr>
                <w:rFonts w:eastAsia="Times New Roman" w:cs="Times New Roman"/>
                <w:b/>
                <w:bCs/>
                <w:sz w:val="18"/>
                <w:szCs w:val="18"/>
              </w:rPr>
              <w:t>Moderate</w:t>
            </w:r>
          </w:p>
        </w:tc>
        <w:tc>
          <w:tcPr>
            <w:tcW w:w="1418" w:type="dxa"/>
            <w:shd w:val="clear" w:color="auto" w:fill="00B050"/>
          </w:tcPr>
          <w:p w14:paraId="17385DE4"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3 – low</w:t>
            </w:r>
          </w:p>
        </w:tc>
        <w:tc>
          <w:tcPr>
            <w:tcW w:w="1417" w:type="dxa"/>
            <w:shd w:val="clear" w:color="auto" w:fill="FFFF00"/>
          </w:tcPr>
          <w:p w14:paraId="6876B47D"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6 – moderate</w:t>
            </w:r>
          </w:p>
        </w:tc>
        <w:tc>
          <w:tcPr>
            <w:tcW w:w="1418" w:type="dxa"/>
            <w:tcBorders>
              <w:bottom w:val="single" w:sz="24" w:space="0" w:color="auto"/>
              <w:right w:val="single" w:sz="24" w:space="0" w:color="auto"/>
            </w:tcBorders>
            <w:shd w:val="clear" w:color="auto" w:fill="FFFF00"/>
          </w:tcPr>
          <w:p w14:paraId="2CF7163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9 – moderate</w:t>
            </w:r>
          </w:p>
        </w:tc>
        <w:tc>
          <w:tcPr>
            <w:tcW w:w="1275" w:type="dxa"/>
            <w:tcBorders>
              <w:top w:val="single" w:sz="24" w:space="0" w:color="auto"/>
              <w:left w:val="single" w:sz="24" w:space="0" w:color="auto"/>
            </w:tcBorders>
            <w:shd w:val="clear" w:color="auto" w:fill="FFC000"/>
          </w:tcPr>
          <w:p w14:paraId="1E1D4BE0"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12 – high</w:t>
            </w:r>
          </w:p>
        </w:tc>
        <w:tc>
          <w:tcPr>
            <w:tcW w:w="1701" w:type="dxa"/>
            <w:shd w:val="clear" w:color="auto" w:fill="FFC000"/>
          </w:tcPr>
          <w:p w14:paraId="64F493C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15 – high</w:t>
            </w:r>
          </w:p>
        </w:tc>
      </w:tr>
      <w:tr w:rsidR="00B1510F" w:rsidRPr="00B33DA7" w14:paraId="124CD636" w14:textId="77777777" w:rsidTr="00FA358B">
        <w:tc>
          <w:tcPr>
            <w:tcW w:w="1838" w:type="dxa"/>
          </w:tcPr>
          <w:p w14:paraId="7922DA0B" w14:textId="2BCDA067" w:rsidR="00B1510F" w:rsidRPr="00B33DA7" w:rsidRDefault="00B1510F"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4</w:t>
            </w:r>
            <w:r>
              <w:rPr>
                <w:rFonts w:eastAsia="Times New Roman" w:cs="Times New Roman"/>
                <w:b/>
                <w:bCs/>
                <w:sz w:val="18"/>
                <w:szCs w:val="18"/>
              </w:rPr>
              <w:t xml:space="preserve"> </w:t>
            </w:r>
            <w:r w:rsidRPr="00B33DA7">
              <w:rPr>
                <w:rFonts w:eastAsia="Times New Roman" w:cs="Times New Roman"/>
                <w:b/>
                <w:bCs/>
                <w:sz w:val="18"/>
                <w:szCs w:val="18"/>
              </w:rPr>
              <w:t>Major</w:t>
            </w:r>
          </w:p>
        </w:tc>
        <w:tc>
          <w:tcPr>
            <w:tcW w:w="1418" w:type="dxa"/>
            <w:shd w:val="clear" w:color="auto" w:fill="00B050"/>
          </w:tcPr>
          <w:p w14:paraId="4913DB45"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4 – low</w:t>
            </w:r>
          </w:p>
        </w:tc>
        <w:tc>
          <w:tcPr>
            <w:tcW w:w="1417" w:type="dxa"/>
            <w:tcBorders>
              <w:bottom w:val="single" w:sz="24" w:space="0" w:color="auto"/>
              <w:right w:val="single" w:sz="24" w:space="0" w:color="auto"/>
            </w:tcBorders>
            <w:shd w:val="clear" w:color="auto" w:fill="FFFF00"/>
          </w:tcPr>
          <w:p w14:paraId="19CFD470"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8 – moderate</w:t>
            </w:r>
          </w:p>
        </w:tc>
        <w:tc>
          <w:tcPr>
            <w:tcW w:w="1418" w:type="dxa"/>
            <w:tcBorders>
              <w:top w:val="single" w:sz="24" w:space="0" w:color="auto"/>
              <w:left w:val="single" w:sz="24" w:space="0" w:color="auto"/>
            </w:tcBorders>
            <w:shd w:val="clear" w:color="auto" w:fill="FFC000"/>
          </w:tcPr>
          <w:p w14:paraId="55159584"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12 – high</w:t>
            </w:r>
          </w:p>
        </w:tc>
        <w:tc>
          <w:tcPr>
            <w:tcW w:w="1275" w:type="dxa"/>
            <w:shd w:val="clear" w:color="auto" w:fill="FF0000"/>
          </w:tcPr>
          <w:p w14:paraId="3815D813"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16 – critical</w:t>
            </w:r>
          </w:p>
        </w:tc>
        <w:tc>
          <w:tcPr>
            <w:tcW w:w="1701" w:type="dxa"/>
            <w:shd w:val="clear" w:color="auto" w:fill="FF0000"/>
          </w:tcPr>
          <w:p w14:paraId="390F12B1"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20 – critical</w:t>
            </w:r>
          </w:p>
        </w:tc>
      </w:tr>
      <w:tr w:rsidR="00B1510F" w:rsidRPr="00B33DA7" w14:paraId="47F59ED8" w14:textId="77777777" w:rsidTr="00620A39">
        <w:tc>
          <w:tcPr>
            <w:tcW w:w="1838" w:type="dxa"/>
          </w:tcPr>
          <w:p w14:paraId="4CC6F039" w14:textId="39EE4459" w:rsidR="00B1510F" w:rsidRPr="00B33DA7" w:rsidRDefault="00B1510F" w:rsidP="005E3271">
            <w:pPr>
              <w:spacing w:before="100" w:beforeAutospacing="1" w:after="100" w:afterAutospacing="1"/>
              <w:rPr>
                <w:rFonts w:eastAsia="Times New Roman" w:cs="Times New Roman"/>
                <w:b/>
                <w:bCs/>
                <w:sz w:val="18"/>
                <w:szCs w:val="18"/>
              </w:rPr>
            </w:pPr>
            <w:r w:rsidRPr="00B33DA7">
              <w:rPr>
                <w:rFonts w:eastAsia="Times New Roman" w:cs="Times New Roman"/>
                <w:b/>
                <w:bCs/>
                <w:sz w:val="18"/>
                <w:szCs w:val="18"/>
              </w:rPr>
              <w:t>5</w:t>
            </w:r>
            <w:r>
              <w:rPr>
                <w:rFonts w:eastAsia="Times New Roman" w:cs="Times New Roman"/>
                <w:b/>
                <w:bCs/>
                <w:sz w:val="18"/>
                <w:szCs w:val="18"/>
              </w:rPr>
              <w:t xml:space="preserve"> </w:t>
            </w:r>
            <w:r w:rsidRPr="00B33DA7">
              <w:rPr>
                <w:rFonts w:eastAsia="Times New Roman" w:cs="Times New Roman"/>
                <w:b/>
                <w:bCs/>
                <w:sz w:val="18"/>
                <w:szCs w:val="18"/>
              </w:rPr>
              <w:t xml:space="preserve">Extreme </w:t>
            </w:r>
          </w:p>
        </w:tc>
        <w:tc>
          <w:tcPr>
            <w:tcW w:w="1418" w:type="dxa"/>
            <w:tcBorders>
              <w:right w:val="single" w:sz="24" w:space="0" w:color="auto"/>
            </w:tcBorders>
            <w:shd w:val="clear" w:color="auto" w:fill="FFFF00"/>
          </w:tcPr>
          <w:p w14:paraId="06FA985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5 – moderate</w:t>
            </w:r>
          </w:p>
        </w:tc>
        <w:tc>
          <w:tcPr>
            <w:tcW w:w="1417" w:type="dxa"/>
            <w:tcBorders>
              <w:top w:val="single" w:sz="24" w:space="0" w:color="auto"/>
              <w:left w:val="single" w:sz="24" w:space="0" w:color="auto"/>
            </w:tcBorders>
            <w:shd w:val="clear" w:color="auto" w:fill="FFC000"/>
          </w:tcPr>
          <w:p w14:paraId="56B429EF"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 xml:space="preserve">10 – high </w:t>
            </w:r>
          </w:p>
        </w:tc>
        <w:tc>
          <w:tcPr>
            <w:tcW w:w="1418" w:type="dxa"/>
            <w:shd w:val="clear" w:color="auto" w:fill="FF0000"/>
          </w:tcPr>
          <w:p w14:paraId="58B9A338"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15 – critical</w:t>
            </w:r>
          </w:p>
        </w:tc>
        <w:tc>
          <w:tcPr>
            <w:tcW w:w="1275" w:type="dxa"/>
            <w:shd w:val="clear" w:color="auto" w:fill="FF0000"/>
          </w:tcPr>
          <w:p w14:paraId="64B77CAC"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20 – critical</w:t>
            </w:r>
          </w:p>
        </w:tc>
        <w:tc>
          <w:tcPr>
            <w:tcW w:w="1701" w:type="dxa"/>
            <w:shd w:val="clear" w:color="auto" w:fill="FF0000"/>
          </w:tcPr>
          <w:p w14:paraId="6E36D0D0" w14:textId="77777777" w:rsidR="00B1510F" w:rsidRPr="00B33DA7" w:rsidRDefault="00B1510F" w:rsidP="005E3271">
            <w:pPr>
              <w:spacing w:before="100" w:beforeAutospacing="1" w:after="100" w:afterAutospacing="1"/>
              <w:rPr>
                <w:rFonts w:eastAsia="Times New Roman" w:cs="Times New Roman"/>
                <w:sz w:val="18"/>
                <w:szCs w:val="18"/>
              </w:rPr>
            </w:pPr>
            <w:r w:rsidRPr="00B33DA7">
              <w:rPr>
                <w:rFonts w:eastAsia="Times New Roman" w:cs="Times New Roman"/>
                <w:sz w:val="18"/>
                <w:szCs w:val="18"/>
              </w:rPr>
              <w:t xml:space="preserve">25 – critical </w:t>
            </w:r>
          </w:p>
        </w:tc>
      </w:tr>
    </w:tbl>
    <w:bookmarkEnd w:id="0"/>
    <w:p w14:paraId="0084F254" w14:textId="77777777" w:rsidR="00FD5212" w:rsidRPr="00B33DA7" w:rsidRDefault="00FD5212" w:rsidP="00FD5212">
      <w:pPr>
        <w:spacing w:before="100" w:beforeAutospacing="1" w:after="100" w:afterAutospacing="1"/>
        <w:rPr>
          <w:rFonts w:ascii="Calibri" w:eastAsia="Times New Roman" w:hAnsi="Calibri" w:cs="Times New Roman"/>
          <w:b/>
          <w:bCs/>
          <w:sz w:val="22"/>
          <w:szCs w:val="22"/>
          <w:lang w:eastAsia="en-GB"/>
        </w:rPr>
      </w:pPr>
      <w:r w:rsidRPr="00B33DA7">
        <w:rPr>
          <w:rFonts w:ascii="Calibri" w:eastAsia="Times New Roman" w:hAnsi="Calibri" w:cs="Times New Roman"/>
          <w:b/>
          <w:bCs/>
          <w:sz w:val="22"/>
          <w:szCs w:val="22"/>
          <w:lang w:eastAsia="en-GB"/>
        </w:rPr>
        <w:t xml:space="preserve">Key: </w:t>
      </w:r>
    </w:p>
    <w:p w14:paraId="0751327F" w14:textId="77777777" w:rsidR="00FD5212" w:rsidRPr="00B33DA7" w:rsidRDefault="00FD5212" w:rsidP="00FD5212">
      <w:pPr>
        <w:pStyle w:val="ListParagraph"/>
        <w:numPr>
          <w:ilvl w:val="0"/>
          <w:numId w:val="21"/>
        </w:numPr>
        <w:spacing w:before="100" w:beforeAutospacing="1" w:after="100" w:afterAutospacing="1"/>
        <w:rPr>
          <w:rFonts w:ascii="Calibri" w:eastAsia="Times New Roman" w:hAnsi="Calibri" w:cs="Times New Roman"/>
          <w:sz w:val="22"/>
          <w:szCs w:val="22"/>
          <w:lang w:eastAsia="en-GB"/>
        </w:rPr>
      </w:pPr>
      <w:r w:rsidRPr="00B33DA7">
        <w:rPr>
          <w:rFonts w:ascii="Calibri" w:eastAsia="Times New Roman" w:hAnsi="Calibri" w:cs="Times New Roman"/>
          <w:b/>
          <w:bCs/>
          <w:sz w:val="22"/>
          <w:szCs w:val="22"/>
          <w:lang w:eastAsia="en-GB"/>
        </w:rPr>
        <w:t>Low Risk:</w:t>
      </w:r>
      <w:r w:rsidRPr="00B33DA7">
        <w:rPr>
          <w:rFonts w:ascii="Calibri" w:eastAsia="Times New Roman" w:hAnsi="Calibri" w:cs="Times New Roman"/>
          <w:sz w:val="22"/>
          <w:szCs w:val="22"/>
          <w:lang w:eastAsia="en-GB"/>
        </w:rPr>
        <w:t xml:space="preserve"> Acceptable risk and no further action required as long as risk has been minimised as possible.  Risk needs to be reviewed periodically</w:t>
      </w:r>
    </w:p>
    <w:p w14:paraId="510AEB88" w14:textId="77777777" w:rsidR="00FD5212" w:rsidRPr="00B33DA7" w:rsidRDefault="00FD5212" w:rsidP="00FD5212">
      <w:pPr>
        <w:pStyle w:val="ListParagraph"/>
        <w:numPr>
          <w:ilvl w:val="0"/>
          <w:numId w:val="21"/>
        </w:numPr>
        <w:spacing w:before="100" w:beforeAutospacing="1" w:after="100" w:afterAutospacing="1"/>
        <w:rPr>
          <w:rFonts w:ascii="Calibri" w:eastAsia="Times New Roman" w:hAnsi="Calibri" w:cs="Times New Roman"/>
          <w:sz w:val="22"/>
          <w:szCs w:val="22"/>
          <w:lang w:eastAsia="en-GB"/>
        </w:rPr>
      </w:pPr>
      <w:r w:rsidRPr="00B33DA7">
        <w:rPr>
          <w:rFonts w:ascii="Calibri" w:eastAsia="Times New Roman" w:hAnsi="Calibri" w:cs="Times New Roman"/>
          <w:b/>
          <w:bCs/>
          <w:sz w:val="22"/>
          <w:szCs w:val="22"/>
          <w:lang w:eastAsia="en-GB"/>
        </w:rPr>
        <w:t>Moderate Risk:</w:t>
      </w:r>
      <w:r w:rsidRPr="00B33DA7">
        <w:rPr>
          <w:rFonts w:ascii="Calibri" w:eastAsia="Times New Roman" w:hAnsi="Calibri" w:cs="Times New Roman"/>
          <w:sz w:val="22"/>
          <w:szCs w:val="22"/>
          <w:lang w:eastAsia="en-GB"/>
        </w:rPr>
        <w:t xml:space="preserve"> Tolerable with further action required to minimise risk. Risk needs to be reviewed periodically</w:t>
      </w:r>
    </w:p>
    <w:p w14:paraId="2AFAAAFE" w14:textId="77777777" w:rsidR="00FD5212" w:rsidRPr="00B33DA7" w:rsidRDefault="00FD5212" w:rsidP="00FD5212">
      <w:pPr>
        <w:pStyle w:val="ListParagraph"/>
        <w:numPr>
          <w:ilvl w:val="0"/>
          <w:numId w:val="21"/>
        </w:numPr>
        <w:spacing w:before="100" w:beforeAutospacing="1" w:after="100" w:afterAutospacing="1"/>
        <w:rPr>
          <w:rFonts w:ascii="Calibri" w:eastAsia="Times New Roman" w:hAnsi="Calibri" w:cs="Times New Roman"/>
          <w:sz w:val="22"/>
          <w:szCs w:val="22"/>
          <w:lang w:eastAsia="en-GB"/>
        </w:rPr>
      </w:pPr>
      <w:r w:rsidRPr="00B33DA7">
        <w:rPr>
          <w:rFonts w:ascii="Calibri" w:eastAsia="Times New Roman" w:hAnsi="Calibri" w:cs="Times New Roman"/>
          <w:b/>
          <w:bCs/>
          <w:sz w:val="22"/>
          <w:szCs w:val="22"/>
          <w:lang w:eastAsia="en-GB"/>
        </w:rPr>
        <w:t>High Risk:</w:t>
      </w:r>
      <w:r w:rsidRPr="00B33DA7">
        <w:rPr>
          <w:rFonts w:ascii="Calibri" w:hAnsi="Calibri"/>
          <w:sz w:val="22"/>
          <w:szCs w:val="22"/>
        </w:rPr>
        <w:t xml:space="preserve"> </w:t>
      </w:r>
      <w:r w:rsidRPr="00B33DA7">
        <w:rPr>
          <w:rFonts w:ascii="Calibri" w:eastAsia="Times New Roman" w:hAnsi="Calibri" w:cs="Times New Roman"/>
          <w:sz w:val="22"/>
          <w:szCs w:val="22"/>
          <w:lang w:eastAsia="en-GB"/>
        </w:rPr>
        <w:t>Tolerable with further action required to minimise risk.  Risk needs to be reviewed continuously</w:t>
      </w:r>
    </w:p>
    <w:p w14:paraId="6D7EA7B0" w14:textId="77777777" w:rsidR="00FD5212" w:rsidRPr="00B33DA7" w:rsidRDefault="00FD5212" w:rsidP="00FD5212">
      <w:pPr>
        <w:pStyle w:val="ListParagraph"/>
        <w:numPr>
          <w:ilvl w:val="0"/>
          <w:numId w:val="21"/>
        </w:numPr>
        <w:spacing w:before="100" w:beforeAutospacing="1" w:after="100" w:afterAutospacing="1"/>
        <w:rPr>
          <w:rFonts w:ascii="Calibri" w:eastAsia="Times New Roman" w:hAnsi="Calibri" w:cs="Times New Roman"/>
          <w:sz w:val="22"/>
          <w:szCs w:val="22"/>
          <w:lang w:eastAsia="en-GB"/>
        </w:rPr>
      </w:pPr>
      <w:r w:rsidRPr="00B33DA7">
        <w:rPr>
          <w:rFonts w:ascii="Calibri" w:eastAsia="Times New Roman" w:hAnsi="Calibri" w:cs="Times New Roman"/>
          <w:b/>
          <w:bCs/>
          <w:sz w:val="22"/>
          <w:szCs w:val="22"/>
          <w:lang w:eastAsia="en-GB"/>
        </w:rPr>
        <w:t>Critical Risk:</w:t>
      </w:r>
      <w:r w:rsidRPr="00B33DA7">
        <w:rPr>
          <w:rFonts w:ascii="Calibri" w:hAnsi="Calibri"/>
          <w:b/>
          <w:bCs/>
          <w:sz w:val="22"/>
          <w:szCs w:val="22"/>
        </w:rPr>
        <w:t xml:space="preserve"> </w:t>
      </w:r>
      <w:r w:rsidRPr="00B33DA7">
        <w:rPr>
          <w:rFonts w:ascii="Calibri" w:eastAsia="Times New Roman" w:hAnsi="Calibri" w:cs="Times New Roman"/>
          <w:sz w:val="22"/>
          <w:szCs w:val="22"/>
          <w:lang w:eastAsia="en-GB"/>
        </w:rPr>
        <w:t>Unacceptable risk and action required immediately to minimise risk where this is possible</w:t>
      </w:r>
    </w:p>
    <w:p w14:paraId="6E777C93" w14:textId="77777777" w:rsidR="00FD5212" w:rsidRPr="00867120" w:rsidRDefault="00FD5212" w:rsidP="00FD5212">
      <w:pPr>
        <w:spacing w:before="100" w:beforeAutospacing="1" w:after="100" w:afterAutospacing="1"/>
        <w:jc w:val="both"/>
        <w:rPr>
          <w:rFonts w:ascii="Calibri" w:eastAsia="Times New Roman" w:hAnsi="Calibri" w:cs="Times New Roman"/>
          <w:color w:val="000000" w:themeColor="text1"/>
          <w:sz w:val="22"/>
          <w:szCs w:val="22"/>
          <w:lang w:eastAsia="en-GB"/>
        </w:rPr>
      </w:pPr>
      <w:r w:rsidRPr="00867120">
        <w:rPr>
          <w:rFonts w:ascii="Calibri" w:eastAsia="Times New Roman" w:hAnsi="Calibri" w:cs="Times New Roman"/>
          <w:color w:val="000000" w:themeColor="text1"/>
          <w:sz w:val="22"/>
          <w:szCs w:val="22"/>
          <w:lang w:eastAsia="en-GB"/>
        </w:rPr>
        <w:t>It is usual risk management practice for probability to be multiplied by impact in order to quantify risk and enable the comparative mapping of key risks.  Evaluated risks are mapped into a scoring matrix in order to enable comparison between risks and to facilitate focused monitoring</w:t>
      </w:r>
      <w:r w:rsidRPr="00867120">
        <w:rPr>
          <w:rFonts w:ascii="Calibri" w:eastAsia="Times New Roman" w:hAnsi="Calibri" w:cs="Times New Roman"/>
          <w:color w:val="000000" w:themeColor="text1"/>
          <w:sz w:val="22"/>
          <w:szCs w:val="22"/>
          <w:lang w:eastAsia="en-GB"/>
        </w:rPr>
        <w:br/>
        <w:t xml:space="preserve">and review. </w:t>
      </w:r>
    </w:p>
    <w:p w14:paraId="78F2F555" w14:textId="77777777" w:rsidR="00FD5212" w:rsidRPr="00867120" w:rsidRDefault="00FD5212" w:rsidP="00FD5212">
      <w:pPr>
        <w:spacing w:before="100" w:beforeAutospacing="1" w:after="100" w:afterAutospacing="1"/>
        <w:jc w:val="both"/>
        <w:rPr>
          <w:rFonts w:ascii="Calibri" w:eastAsia="Times New Roman" w:hAnsi="Calibri" w:cs="Times New Roman"/>
          <w:color w:val="000000" w:themeColor="text1"/>
          <w:sz w:val="22"/>
          <w:szCs w:val="22"/>
          <w:lang w:eastAsia="en-GB"/>
        </w:rPr>
      </w:pPr>
      <w:r w:rsidRPr="00867120">
        <w:rPr>
          <w:rFonts w:ascii="Calibri" w:eastAsia="Times New Roman" w:hAnsi="Calibri" w:cs="Times New Roman"/>
          <w:color w:val="000000" w:themeColor="text1"/>
          <w:sz w:val="22"/>
          <w:szCs w:val="22"/>
          <w:lang w:eastAsia="en-GB"/>
        </w:rPr>
        <w:t xml:space="preserve">Very low scoring risks will usually be discarded for risk register purposes unless there is a clear indication that these may increase over time. </w:t>
      </w:r>
    </w:p>
    <w:p w14:paraId="1BBAA74E" w14:textId="77777777" w:rsidR="00FD5212" w:rsidRPr="00867120" w:rsidRDefault="00FD5212" w:rsidP="00FD5212">
      <w:pPr>
        <w:spacing w:before="100" w:beforeAutospacing="1" w:after="100" w:afterAutospacing="1"/>
        <w:jc w:val="both"/>
        <w:rPr>
          <w:rFonts w:ascii="Calibri" w:eastAsia="Times New Roman" w:hAnsi="Calibri" w:cs="Times New Roman"/>
          <w:color w:val="000000" w:themeColor="text1"/>
          <w:sz w:val="22"/>
          <w:szCs w:val="22"/>
          <w:lang w:eastAsia="en-GB"/>
        </w:rPr>
      </w:pPr>
      <w:r w:rsidRPr="00867120">
        <w:rPr>
          <w:rFonts w:ascii="Calibri" w:eastAsia="Times New Roman" w:hAnsi="Calibri" w:cs="Times New Roman"/>
          <w:color w:val="000000" w:themeColor="text1"/>
          <w:sz w:val="22"/>
          <w:szCs w:val="22"/>
          <w:lang w:eastAsia="en-GB"/>
        </w:rPr>
        <w:t xml:space="preserve">The University may determine that a risk with a high impact is more significant than a risk with a high probability, for example the risk of a natural disaster occurring which directly affects the University. Or that a risk with a high probability but low impact is more significant, for example the risk of errors in payments to suppliers, or that both impact and probability are equally significant. </w:t>
      </w:r>
    </w:p>
    <w:p w14:paraId="62B124B0" w14:textId="77777777" w:rsidR="00FD5212" w:rsidRPr="00B33DA7" w:rsidRDefault="00FD5212" w:rsidP="00FD5212">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Stage 3 – Manage: </w:t>
      </w:r>
    </w:p>
    <w:p w14:paraId="40D96D79" w14:textId="77777777" w:rsidR="00FD5212" w:rsidRPr="00B33DA7" w:rsidRDefault="00FD5212" w:rsidP="009F79C1">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The original risk profile score shows the likelihood and impact of the risk before any controls are in place to manage the effects of a risk. When we are considering how to treat risks, we must identify the resources available for us to implement internal controls. These resources may include people, systems, equipment or time. These are known as mitigating controls and once identified; these should also be recorded within a risk register. </w:t>
      </w:r>
    </w:p>
    <w:p w14:paraId="70498642" w14:textId="77777777" w:rsidR="00FD5212" w:rsidRPr="00867120" w:rsidRDefault="00FD5212" w:rsidP="009F79C1">
      <w:pPr>
        <w:spacing w:before="100" w:beforeAutospacing="1" w:after="100" w:afterAutospacing="1"/>
        <w:jc w:val="both"/>
        <w:rPr>
          <w:rFonts w:ascii="Calibri" w:eastAsia="Times New Roman" w:hAnsi="Calibri" w:cs="Times New Roman"/>
          <w:color w:val="000000" w:themeColor="text1"/>
          <w:sz w:val="22"/>
          <w:szCs w:val="22"/>
          <w:lang w:eastAsia="en-GB"/>
        </w:rPr>
      </w:pPr>
      <w:r w:rsidRPr="00B33DA7">
        <w:rPr>
          <w:rFonts w:ascii="Calibri" w:eastAsia="Times New Roman" w:hAnsi="Calibri" w:cstheme="minorHAnsi"/>
          <w:sz w:val="22"/>
          <w:szCs w:val="22"/>
          <w:lang w:eastAsia="en-GB"/>
        </w:rPr>
        <w:t xml:space="preserve">Once mitigating controls have been agreed all original risks should be re-scored in terms of impact and likelihood to produce a current risk profile. The revised score is displayed graphically alongside the original risk score to show the effectiveness of the controls in place. </w:t>
      </w:r>
      <w:r w:rsidRPr="00867120">
        <w:rPr>
          <w:rFonts w:ascii="Calibri" w:eastAsia="Times New Roman" w:hAnsi="Calibri" w:cs="Times New Roman"/>
          <w:color w:val="000000" w:themeColor="text1"/>
          <w:sz w:val="22"/>
          <w:szCs w:val="22"/>
          <w:lang w:eastAsia="en-GB"/>
        </w:rPr>
        <w:t xml:space="preserve">Completion of a matrix for inherent and residual risk and comparison of these will provide insight into the effectiveness of the University’s risk management practice and our reliance upon internal control. </w:t>
      </w:r>
    </w:p>
    <w:p w14:paraId="4FB080DF" w14:textId="77777777" w:rsidR="00FD5212" w:rsidRPr="00B33DA7" w:rsidRDefault="00FD5212" w:rsidP="00FD5212">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Risks are recorded in a risk register by department and ownership of the risk is assigned to the most appropriate employee in the department. The owner of the risk is responsible for ensuring that </w:t>
      </w:r>
      <w:r w:rsidRPr="00B33DA7">
        <w:rPr>
          <w:rFonts w:ascii="Calibri" w:eastAsia="Times New Roman" w:hAnsi="Calibri" w:cstheme="minorHAnsi"/>
          <w:sz w:val="22"/>
          <w:szCs w:val="22"/>
          <w:lang w:eastAsia="en-GB"/>
        </w:rPr>
        <w:lastRenderedPageBreak/>
        <w:t xml:space="preserve">reporting and monitoring of risk performance, actions and events takes place regularly, at least quarterly.  The risks need to be formally reviewed with any changes agreed updated within the risk register. </w:t>
      </w:r>
    </w:p>
    <w:p w14:paraId="414CBE42" w14:textId="77777777" w:rsidR="00FD5212" w:rsidRDefault="00FD5212" w:rsidP="00FD5212">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Some risks cannot be mitigated as they are out with the University’s direct control (e.g. flood or regional power failure) therefore a Business Continuity and Disaster Recovery plan will be required. </w:t>
      </w:r>
    </w:p>
    <w:p w14:paraId="382BBC40" w14:textId="77777777" w:rsidR="00FD5212" w:rsidRPr="00B33DA7" w:rsidRDefault="00FD5212" w:rsidP="00FD5212">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Stage 4 – Review: </w:t>
      </w:r>
    </w:p>
    <w:p w14:paraId="00E1A7AA" w14:textId="77777777" w:rsidR="00FD5212" w:rsidRPr="00B33DA7" w:rsidRDefault="00FD5212" w:rsidP="00FD5212">
      <w:pPr>
        <w:spacing w:before="100" w:beforeAutospacing="1" w:after="100" w:afterAutospacing="1"/>
        <w:jc w:val="both"/>
        <w:rPr>
          <w:rFonts w:ascii="Calibri" w:eastAsia="Times New Roman" w:hAnsi="Calibri" w:cstheme="minorHAnsi"/>
          <w:sz w:val="22"/>
          <w:szCs w:val="22"/>
          <w:lang w:eastAsia="en-GB"/>
        </w:rPr>
      </w:pPr>
      <w:r w:rsidRPr="00B33DA7">
        <w:rPr>
          <w:rFonts w:ascii="Calibri" w:eastAsia="Times New Roman" w:hAnsi="Calibri" w:cstheme="minorHAnsi"/>
          <w:sz w:val="22"/>
          <w:szCs w:val="22"/>
          <w:lang w:eastAsia="en-GB"/>
        </w:rPr>
        <w:t xml:space="preserve">There will be a regular review of the Risk Management procedures and arrangements for the review and updating of the Risk Policy and Guidance Document. Part of this process will be to ensure that Departmental Risk Registers are in alignment with University’s strategic objectives. </w:t>
      </w:r>
    </w:p>
    <w:p w14:paraId="09E3A7C0" w14:textId="6A073699" w:rsidR="00FD5212" w:rsidRPr="00FD5212" w:rsidRDefault="00FD5212" w:rsidP="00FD5212">
      <w:pPr>
        <w:spacing w:before="100" w:beforeAutospacing="1" w:after="100" w:afterAutospacing="1"/>
        <w:rPr>
          <w:rFonts w:ascii="Calibri" w:eastAsia="Times New Roman" w:hAnsi="Calibri" w:cs="Times New Roman"/>
          <w:color w:val="000000" w:themeColor="text1"/>
          <w:sz w:val="22"/>
          <w:szCs w:val="22"/>
          <w:lang w:eastAsia="en-GB"/>
        </w:rPr>
      </w:pPr>
      <w:r w:rsidRPr="00867120">
        <w:rPr>
          <w:rFonts w:ascii="Calibri" w:eastAsia="Times New Roman" w:hAnsi="Calibri" w:cs="Times New Roman"/>
          <w:color w:val="000000" w:themeColor="text1"/>
          <w:sz w:val="22"/>
          <w:szCs w:val="22"/>
          <w:lang w:eastAsia="en-GB"/>
        </w:rPr>
        <w:t xml:space="preserve">The risk matrix may also be used to identify where risk has increased, decreased, remained static or been added as a new risk over time in order to focus Audit Committee and management review. </w:t>
      </w:r>
    </w:p>
    <w:p w14:paraId="12A02650" w14:textId="669554D0" w:rsidR="00BE6E91" w:rsidRPr="00B33DA7" w:rsidRDefault="00BE6E91" w:rsidP="00E76EEF">
      <w:pPr>
        <w:spacing w:before="100" w:beforeAutospacing="1" w:after="100" w:afterAutospacing="1"/>
        <w:jc w:val="both"/>
        <w:rPr>
          <w:rFonts w:ascii="Calibri" w:eastAsia="Times New Roman" w:hAnsi="Calibri" w:cs="Times New Roman"/>
          <w:b/>
          <w:bCs/>
          <w:sz w:val="22"/>
          <w:szCs w:val="22"/>
          <w:lang w:eastAsia="en-GB"/>
        </w:rPr>
      </w:pPr>
      <w:r w:rsidRPr="00B33DA7">
        <w:rPr>
          <w:rFonts w:ascii="Calibri" w:eastAsia="Times New Roman" w:hAnsi="Calibri" w:cs="Times New Roman"/>
          <w:b/>
          <w:bCs/>
          <w:sz w:val="22"/>
          <w:szCs w:val="22"/>
          <w:lang w:eastAsia="en-GB"/>
        </w:rPr>
        <w:t xml:space="preserve">Types of Risk Register </w:t>
      </w:r>
    </w:p>
    <w:p w14:paraId="79B0DB3C" w14:textId="77777777" w:rsidR="00FD5212" w:rsidRPr="00B33DA7" w:rsidRDefault="00BE6E91" w:rsidP="00FD5212">
      <w:pPr>
        <w:spacing w:before="100" w:beforeAutospacing="1" w:after="100" w:afterAutospacing="1"/>
        <w:jc w:val="both"/>
        <w:rPr>
          <w:rFonts w:eastAsia="Times New Roman" w:cs="Times New Roman"/>
          <w:sz w:val="22"/>
          <w:szCs w:val="22"/>
          <w:lang w:eastAsia="en-GB"/>
        </w:rPr>
      </w:pPr>
      <w:r w:rsidRPr="00B33DA7">
        <w:rPr>
          <w:rFonts w:cstheme="minorHAnsi"/>
          <w:color w:val="000000" w:themeColor="text1"/>
          <w:sz w:val="22"/>
          <w:szCs w:val="22"/>
        </w:rPr>
        <w:t xml:space="preserve">The risk register is the output from the evaluation of risk and drives achievement of the risk appetite and any action to reduce the likelihood that risk will be realised. </w:t>
      </w:r>
      <w:r w:rsidR="00FD5212">
        <w:rPr>
          <w:rFonts w:cstheme="minorHAnsi"/>
          <w:color w:val="000000" w:themeColor="text1"/>
          <w:sz w:val="22"/>
          <w:szCs w:val="22"/>
        </w:rPr>
        <w:t xml:space="preserve"> </w:t>
      </w:r>
      <w:r w:rsidR="00FD5212" w:rsidRPr="00B33DA7">
        <w:rPr>
          <w:rFonts w:eastAsia="Times New Roman" w:cs="Times New Roman"/>
          <w:sz w:val="22"/>
          <w:szCs w:val="22"/>
          <w:lang w:eastAsia="en-GB"/>
        </w:rPr>
        <w:t xml:space="preserve">We use Risk Registers to document and record risks we have identified and what we intend to do about them. This demonstrates the management of risk within the University and also, by setting out everything we do and reviewing this regularly (at least quarterly), allows us to consider if we are doing enough to control each risk or whether our resources would be better used elsewhere. </w:t>
      </w:r>
    </w:p>
    <w:p w14:paraId="3F53F789" w14:textId="541F2E45" w:rsidR="00BE6E91" w:rsidRPr="00B33DA7" w:rsidRDefault="00BE6E91" w:rsidP="00E76EEF">
      <w:pPr>
        <w:pStyle w:val="NormalWeb"/>
        <w:shd w:val="clear" w:color="auto" w:fill="FFFFFF"/>
        <w:jc w:val="both"/>
        <w:rPr>
          <w:rFonts w:asciiTheme="minorHAnsi" w:hAnsiTheme="minorHAnsi" w:cstheme="minorHAnsi"/>
          <w:color w:val="000000" w:themeColor="text1"/>
          <w:sz w:val="22"/>
          <w:szCs w:val="22"/>
        </w:rPr>
      </w:pPr>
      <w:r w:rsidRPr="00B33DA7">
        <w:rPr>
          <w:rFonts w:asciiTheme="minorHAnsi" w:hAnsiTheme="minorHAnsi" w:cstheme="minorHAnsi"/>
          <w:b/>
          <w:bCs/>
          <w:color w:val="000000" w:themeColor="text1"/>
          <w:sz w:val="22"/>
          <w:szCs w:val="22"/>
        </w:rPr>
        <w:t>Strategic risk register</w:t>
      </w:r>
      <w:r w:rsidRPr="00B33DA7">
        <w:rPr>
          <w:rFonts w:asciiTheme="minorHAnsi" w:hAnsiTheme="minorHAnsi" w:cstheme="minorHAnsi"/>
          <w:color w:val="000000" w:themeColor="text1"/>
          <w:sz w:val="22"/>
          <w:szCs w:val="22"/>
        </w:rPr>
        <w:t xml:space="preserve"> – this will identify key strategic risks to the University. </w:t>
      </w:r>
      <w:r w:rsidR="001C39DA" w:rsidRPr="00B33DA7">
        <w:rPr>
          <w:rFonts w:asciiTheme="minorHAnsi" w:hAnsiTheme="minorHAnsi" w:cstheme="minorHAnsi"/>
          <w:color w:val="000000" w:themeColor="text1"/>
          <w:sz w:val="22"/>
          <w:szCs w:val="22"/>
        </w:rPr>
        <w:t xml:space="preserve"> </w:t>
      </w:r>
      <w:r w:rsidRPr="00B33DA7">
        <w:rPr>
          <w:rFonts w:asciiTheme="minorHAnsi" w:hAnsiTheme="minorHAnsi" w:cstheme="minorHAnsi"/>
          <w:color w:val="000000" w:themeColor="text1"/>
          <w:sz w:val="22"/>
          <w:szCs w:val="22"/>
        </w:rPr>
        <w:t xml:space="preserve">This level should be set to ensure that review and monitoring of the register is not overly bureaucratic and cumbersome but is comprehensive enough to ensure that all risks which require monitoring are reviewed effectively so as not to expose the </w:t>
      </w:r>
      <w:r w:rsidR="001C39DA" w:rsidRPr="00B33DA7">
        <w:rPr>
          <w:rFonts w:asciiTheme="minorHAnsi" w:hAnsiTheme="minorHAnsi" w:cstheme="minorHAnsi"/>
          <w:color w:val="000000" w:themeColor="text1"/>
          <w:sz w:val="22"/>
          <w:szCs w:val="22"/>
        </w:rPr>
        <w:t xml:space="preserve">University </w:t>
      </w:r>
      <w:r w:rsidRPr="00B33DA7">
        <w:rPr>
          <w:rFonts w:asciiTheme="minorHAnsi" w:hAnsiTheme="minorHAnsi" w:cstheme="minorHAnsi"/>
          <w:color w:val="000000" w:themeColor="text1"/>
          <w:sz w:val="22"/>
          <w:szCs w:val="22"/>
        </w:rPr>
        <w:t xml:space="preserve">to strategic risks being realised. </w:t>
      </w:r>
    </w:p>
    <w:p w14:paraId="1A2A3BC9" w14:textId="28564D0A" w:rsidR="00BE6E91" w:rsidRPr="00BE6E91" w:rsidRDefault="00BE6E91" w:rsidP="00E76EEF">
      <w:pPr>
        <w:shd w:val="clear" w:color="auto" w:fill="FFFFFF"/>
        <w:spacing w:before="100" w:beforeAutospacing="1" w:after="100" w:afterAutospacing="1"/>
        <w:jc w:val="both"/>
        <w:rPr>
          <w:rFonts w:eastAsia="Times New Roman" w:cstheme="minorHAnsi"/>
          <w:color w:val="000000" w:themeColor="text1"/>
          <w:sz w:val="22"/>
          <w:szCs w:val="22"/>
          <w:lang w:eastAsia="en-GB"/>
        </w:rPr>
      </w:pPr>
      <w:r w:rsidRPr="00BE6E91">
        <w:rPr>
          <w:rFonts w:eastAsia="Times New Roman" w:cstheme="minorHAnsi"/>
          <w:color w:val="000000" w:themeColor="text1"/>
          <w:sz w:val="22"/>
          <w:szCs w:val="22"/>
          <w:lang w:eastAsia="en-GB"/>
        </w:rPr>
        <w:t xml:space="preserve">For example, the </w:t>
      </w:r>
      <w:r w:rsidR="00F4794D" w:rsidRPr="00B33DA7">
        <w:rPr>
          <w:rFonts w:eastAsia="Times New Roman" w:cstheme="minorHAnsi"/>
          <w:color w:val="000000" w:themeColor="text1"/>
          <w:sz w:val="22"/>
          <w:szCs w:val="22"/>
          <w:lang w:eastAsia="en-GB"/>
        </w:rPr>
        <w:t xml:space="preserve">University </w:t>
      </w:r>
      <w:r w:rsidRPr="00BE6E91">
        <w:rPr>
          <w:rFonts w:eastAsia="Times New Roman" w:cstheme="minorHAnsi"/>
          <w:color w:val="000000" w:themeColor="text1"/>
          <w:sz w:val="22"/>
          <w:szCs w:val="22"/>
          <w:lang w:eastAsia="en-GB"/>
        </w:rPr>
        <w:t xml:space="preserve">may monitor risks rated as red/high in </w:t>
      </w:r>
      <w:r w:rsidR="001C39DA" w:rsidRPr="00B33DA7">
        <w:rPr>
          <w:rFonts w:eastAsia="Times New Roman" w:cstheme="minorHAnsi"/>
          <w:color w:val="000000" w:themeColor="text1"/>
          <w:sz w:val="22"/>
          <w:szCs w:val="22"/>
          <w:lang w:eastAsia="en-GB"/>
        </w:rPr>
        <w:t xml:space="preserve">the </w:t>
      </w:r>
      <w:r w:rsidRPr="00BE6E91">
        <w:rPr>
          <w:rFonts w:eastAsia="Times New Roman" w:cstheme="minorHAnsi"/>
          <w:color w:val="000000" w:themeColor="text1"/>
          <w:sz w:val="22"/>
          <w:szCs w:val="22"/>
          <w:lang w:eastAsia="en-GB"/>
        </w:rPr>
        <w:t xml:space="preserve">strategic risk </w:t>
      </w:r>
      <w:r w:rsidR="001C39DA" w:rsidRPr="00B33DA7">
        <w:rPr>
          <w:rFonts w:eastAsia="Times New Roman" w:cstheme="minorHAnsi"/>
          <w:color w:val="000000" w:themeColor="text1"/>
          <w:sz w:val="22"/>
          <w:szCs w:val="22"/>
          <w:lang w:eastAsia="en-GB"/>
        </w:rPr>
        <w:t xml:space="preserve">register </w:t>
      </w:r>
      <w:r w:rsidRPr="00BE6E91">
        <w:rPr>
          <w:rFonts w:eastAsia="Times New Roman" w:cstheme="minorHAnsi"/>
          <w:color w:val="000000" w:themeColor="text1"/>
          <w:sz w:val="22"/>
          <w:szCs w:val="22"/>
          <w:lang w:eastAsia="en-GB"/>
        </w:rPr>
        <w:t xml:space="preserve">at governing body level and lower level risks as part of ongoing management review. </w:t>
      </w:r>
    </w:p>
    <w:p w14:paraId="19978FDC" w14:textId="6C8E7DAF" w:rsidR="007D0AF4" w:rsidRDefault="00BE6E91" w:rsidP="00175E53">
      <w:pPr>
        <w:shd w:val="clear" w:color="auto" w:fill="FFFFFF"/>
        <w:spacing w:before="100" w:beforeAutospacing="1" w:after="100" w:afterAutospacing="1"/>
        <w:jc w:val="both"/>
        <w:rPr>
          <w:rFonts w:ascii="Calibri" w:hAnsi="Calibri"/>
          <w:b/>
          <w:bCs/>
          <w:sz w:val="22"/>
          <w:szCs w:val="22"/>
        </w:rPr>
      </w:pPr>
      <w:r w:rsidRPr="00BE6E91">
        <w:rPr>
          <w:rFonts w:eastAsia="Times New Roman" w:cstheme="minorHAnsi"/>
          <w:b/>
          <w:bCs/>
          <w:color w:val="000000" w:themeColor="text1"/>
          <w:sz w:val="22"/>
          <w:szCs w:val="22"/>
          <w:lang w:eastAsia="en-GB"/>
        </w:rPr>
        <w:t>Operational risk registers</w:t>
      </w:r>
      <w:r w:rsidRPr="00BE6E91">
        <w:rPr>
          <w:rFonts w:eastAsia="Times New Roman" w:cstheme="minorHAnsi"/>
          <w:color w:val="000000" w:themeColor="text1"/>
          <w:sz w:val="22"/>
          <w:szCs w:val="22"/>
          <w:lang w:eastAsia="en-GB"/>
        </w:rPr>
        <w:t xml:space="preserve"> – these will identify key operational risks to the </w:t>
      </w:r>
      <w:r w:rsidR="00F4794D" w:rsidRPr="00B33DA7">
        <w:rPr>
          <w:rFonts w:eastAsia="Times New Roman" w:cstheme="minorHAnsi"/>
          <w:color w:val="000000" w:themeColor="text1"/>
          <w:sz w:val="22"/>
          <w:szCs w:val="22"/>
          <w:lang w:eastAsia="en-GB"/>
        </w:rPr>
        <w:t xml:space="preserve">University </w:t>
      </w:r>
      <w:r w:rsidRPr="00BE6E91">
        <w:rPr>
          <w:rFonts w:eastAsia="Times New Roman" w:cstheme="minorHAnsi"/>
          <w:color w:val="000000" w:themeColor="text1"/>
          <w:sz w:val="22"/>
          <w:szCs w:val="22"/>
          <w:lang w:eastAsia="en-GB"/>
        </w:rPr>
        <w:t>within</w:t>
      </w:r>
      <w:r w:rsidR="00F4794D" w:rsidRPr="00B33DA7">
        <w:rPr>
          <w:rFonts w:eastAsia="Times New Roman" w:cstheme="minorHAnsi"/>
          <w:color w:val="000000" w:themeColor="text1"/>
          <w:sz w:val="22"/>
          <w:szCs w:val="22"/>
          <w:lang w:eastAsia="en-GB"/>
        </w:rPr>
        <w:t xml:space="preserve"> </w:t>
      </w:r>
      <w:r w:rsidRPr="00BE6E91">
        <w:rPr>
          <w:rFonts w:eastAsia="Times New Roman" w:cstheme="minorHAnsi"/>
          <w:color w:val="000000" w:themeColor="text1"/>
          <w:sz w:val="22"/>
          <w:szCs w:val="22"/>
          <w:lang w:eastAsia="en-GB"/>
        </w:rPr>
        <w:t>the specific academic and support divisions</w:t>
      </w:r>
      <w:r w:rsidR="001C39DA" w:rsidRPr="00B33DA7">
        <w:rPr>
          <w:rFonts w:eastAsia="Times New Roman" w:cstheme="minorHAnsi"/>
          <w:color w:val="000000" w:themeColor="text1"/>
          <w:sz w:val="22"/>
          <w:szCs w:val="22"/>
          <w:lang w:eastAsia="en-GB"/>
        </w:rPr>
        <w:t xml:space="preserve"> or </w:t>
      </w:r>
      <w:r w:rsidRPr="00BE6E91">
        <w:rPr>
          <w:rFonts w:eastAsia="Times New Roman" w:cstheme="minorHAnsi"/>
          <w:color w:val="000000" w:themeColor="text1"/>
          <w:sz w:val="22"/>
          <w:szCs w:val="22"/>
          <w:lang w:eastAsia="en-GB"/>
        </w:rPr>
        <w:t>departments. Management should</w:t>
      </w:r>
      <w:r w:rsidR="00F4794D" w:rsidRPr="00B33DA7">
        <w:rPr>
          <w:rFonts w:eastAsia="Times New Roman" w:cstheme="minorHAnsi"/>
          <w:color w:val="000000" w:themeColor="text1"/>
          <w:sz w:val="22"/>
          <w:szCs w:val="22"/>
          <w:lang w:eastAsia="en-GB"/>
        </w:rPr>
        <w:t xml:space="preserve"> </w:t>
      </w:r>
      <w:r w:rsidRPr="00BE6E91">
        <w:rPr>
          <w:rFonts w:eastAsia="Times New Roman" w:cstheme="minorHAnsi"/>
          <w:color w:val="000000" w:themeColor="text1"/>
          <w:sz w:val="22"/>
          <w:szCs w:val="22"/>
          <w:lang w:eastAsia="en-GB"/>
        </w:rPr>
        <w:t xml:space="preserve">take care to ensure that all cross divisional/ departmental risks are identified and included either in a specific register, within the register of a relevant division/department or if relevant then within the strategic risk register. </w:t>
      </w:r>
      <w:r w:rsidR="00964150" w:rsidRPr="00B33DA7">
        <w:rPr>
          <w:rFonts w:ascii="Calibri" w:eastAsia="Times New Roman" w:hAnsi="Calibri" w:cs="Times New Roman"/>
          <w:sz w:val="22"/>
          <w:szCs w:val="22"/>
          <w:lang w:eastAsia="en-GB"/>
        </w:rPr>
        <w:tab/>
      </w:r>
    </w:p>
    <w:p w14:paraId="75FED590" w14:textId="77777777" w:rsidR="007D0AF4" w:rsidRDefault="007D0AF4" w:rsidP="001162BE">
      <w:pPr>
        <w:spacing w:before="100" w:beforeAutospacing="1" w:after="100" w:afterAutospacing="1"/>
        <w:rPr>
          <w:rFonts w:ascii="Calibri" w:hAnsi="Calibri"/>
          <w:b/>
          <w:bCs/>
          <w:sz w:val="22"/>
          <w:szCs w:val="22"/>
        </w:rPr>
        <w:sectPr w:rsidR="007D0AF4">
          <w:pgSz w:w="11906" w:h="16838"/>
          <w:pgMar w:top="1440" w:right="1440" w:bottom="1440" w:left="1440" w:header="708" w:footer="708" w:gutter="0"/>
          <w:cols w:space="708"/>
          <w:docGrid w:linePitch="360"/>
        </w:sectPr>
      </w:pPr>
    </w:p>
    <w:p w14:paraId="278C8F5A" w14:textId="66769F12" w:rsidR="00362815" w:rsidRPr="00FD5212" w:rsidRDefault="00867120" w:rsidP="001162BE">
      <w:pPr>
        <w:spacing w:before="100" w:beforeAutospacing="1" w:after="100" w:afterAutospacing="1"/>
        <w:rPr>
          <w:rFonts w:ascii="Calibri" w:hAnsi="Calibri"/>
          <w:b/>
          <w:bCs/>
          <w:sz w:val="22"/>
          <w:szCs w:val="22"/>
        </w:rPr>
      </w:pPr>
      <w:r w:rsidRPr="00FD5212">
        <w:rPr>
          <w:rFonts w:ascii="Calibri" w:hAnsi="Calibri"/>
          <w:b/>
          <w:bCs/>
          <w:sz w:val="22"/>
          <w:szCs w:val="22"/>
        </w:rPr>
        <w:lastRenderedPageBreak/>
        <w:t xml:space="preserve">Risk Register template </w:t>
      </w:r>
    </w:p>
    <w:tbl>
      <w:tblPr>
        <w:tblStyle w:val="TableGrid"/>
        <w:tblW w:w="14170" w:type="dxa"/>
        <w:tblLook w:val="04A0" w:firstRow="1" w:lastRow="0" w:firstColumn="1" w:lastColumn="0" w:noHBand="0" w:noVBand="1"/>
      </w:tblPr>
      <w:tblGrid>
        <w:gridCol w:w="1275"/>
        <w:gridCol w:w="1356"/>
        <w:gridCol w:w="1224"/>
        <w:gridCol w:w="1299"/>
        <w:gridCol w:w="1406"/>
        <w:gridCol w:w="1477"/>
        <w:gridCol w:w="1091"/>
        <w:gridCol w:w="1224"/>
        <w:gridCol w:w="1299"/>
        <w:gridCol w:w="1266"/>
        <w:gridCol w:w="1253"/>
      </w:tblGrid>
      <w:tr w:rsidR="00DD485B" w14:paraId="17734095" w14:textId="77777777" w:rsidTr="007D0AF4">
        <w:tc>
          <w:tcPr>
            <w:tcW w:w="1288" w:type="dxa"/>
          </w:tcPr>
          <w:p w14:paraId="3ECF3C18" w14:textId="6C95ABD7"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Description of Risk and Impact</w:t>
            </w:r>
          </w:p>
        </w:tc>
        <w:tc>
          <w:tcPr>
            <w:tcW w:w="1288" w:type="dxa"/>
          </w:tcPr>
          <w:p w14:paraId="2F414BE5" w14:textId="41B5C923"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 xml:space="preserve">Accountable person </w:t>
            </w:r>
          </w:p>
        </w:tc>
        <w:tc>
          <w:tcPr>
            <w:tcW w:w="1288" w:type="dxa"/>
          </w:tcPr>
          <w:p w14:paraId="77096E99" w14:textId="43542167"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Likelihood</w:t>
            </w:r>
          </w:p>
        </w:tc>
        <w:tc>
          <w:tcPr>
            <w:tcW w:w="1288" w:type="dxa"/>
          </w:tcPr>
          <w:p w14:paraId="3FE4DEB1" w14:textId="10EDD960"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 xml:space="preserve">Impact </w:t>
            </w:r>
          </w:p>
        </w:tc>
        <w:tc>
          <w:tcPr>
            <w:tcW w:w="1288" w:type="dxa"/>
          </w:tcPr>
          <w:p w14:paraId="4A3FF08F" w14:textId="3492E0AC"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Inherent Risk Score</w:t>
            </w:r>
          </w:p>
        </w:tc>
        <w:tc>
          <w:tcPr>
            <w:tcW w:w="1289" w:type="dxa"/>
          </w:tcPr>
          <w:p w14:paraId="11FC8A00" w14:textId="471E73CB" w:rsidR="007D0AF4" w:rsidRDefault="007D0AF4"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Controls / Mitigatin</w:t>
            </w:r>
            <w:r w:rsidR="00F7496F">
              <w:rPr>
                <w:rFonts w:ascii="Calibri" w:eastAsia="Times New Roman" w:hAnsi="Calibri" w:cs="Times New Roman"/>
                <w:b/>
                <w:bCs/>
                <w:sz w:val="22"/>
                <w:szCs w:val="22"/>
                <w:lang w:eastAsia="en-GB"/>
              </w:rPr>
              <w:t>g</w:t>
            </w:r>
            <w:r>
              <w:rPr>
                <w:rFonts w:ascii="Calibri" w:eastAsia="Times New Roman" w:hAnsi="Calibri" w:cs="Times New Roman"/>
                <w:b/>
                <w:bCs/>
                <w:sz w:val="22"/>
                <w:szCs w:val="22"/>
                <w:lang w:eastAsia="en-GB"/>
              </w:rPr>
              <w:t xml:space="preserve"> Actions</w:t>
            </w:r>
          </w:p>
        </w:tc>
        <w:tc>
          <w:tcPr>
            <w:tcW w:w="1288" w:type="dxa"/>
          </w:tcPr>
          <w:p w14:paraId="2046D2A1" w14:textId="7B39540E" w:rsidR="007D0AF4" w:rsidRDefault="00F7496F"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Control Owner</w:t>
            </w:r>
          </w:p>
        </w:tc>
        <w:tc>
          <w:tcPr>
            <w:tcW w:w="1288" w:type="dxa"/>
          </w:tcPr>
          <w:p w14:paraId="580B3FE8" w14:textId="6B1D3EA9" w:rsidR="007D0AF4" w:rsidRDefault="00F7496F"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Likelihood</w:t>
            </w:r>
          </w:p>
        </w:tc>
        <w:tc>
          <w:tcPr>
            <w:tcW w:w="1288" w:type="dxa"/>
          </w:tcPr>
          <w:p w14:paraId="429F83D1" w14:textId="0ED83EB7" w:rsidR="007D0AF4" w:rsidRDefault="00F7496F"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Impact</w:t>
            </w:r>
          </w:p>
        </w:tc>
        <w:tc>
          <w:tcPr>
            <w:tcW w:w="1288" w:type="dxa"/>
          </w:tcPr>
          <w:p w14:paraId="7C90CF46" w14:textId="63B267B6" w:rsidR="007D0AF4" w:rsidRDefault="00F7496F"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Residual  Risk Score</w:t>
            </w:r>
          </w:p>
        </w:tc>
        <w:tc>
          <w:tcPr>
            <w:tcW w:w="1289" w:type="dxa"/>
          </w:tcPr>
          <w:p w14:paraId="5A6CB547" w14:textId="07E4DF01" w:rsidR="007D0AF4" w:rsidRDefault="00F7496F" w:rsidP="00FD5212">
            <w:pPr>
              <w:spacing w:before="100" w:beforeAutospacing="1" w:after="100" w:afterAutospacing="1"/>
              <w:rPr>
                <w:rFonts w:ascii="Calibri" w:eastAsia="Times New Roman" w:hAnsi="Calibri" w:cs="Times New Roman"/>
                <w:b/>
                <w:bCs/>
                <w:sz w:val="22"/>
                <w:szCs w:val="22"/>
                <w:lang w:eastAsia="en-GB"/>
              </w:rPr>
            </w:pPr>
            <w:r>
              <w:rPr>
                <w:rFonts w:ascii="Calibri" w:eastAsia="Times New Roman" w:hAnsi="Calibri" w:cs="Times New Roman"/>
                <w:b/>
                <w:bCs/>
                <w:sz w:val="22"/>
                <w:szCs w:val="22"/>
                <w:lang w:eastAsia="en-GB"/>
              </w:rPr>
              <w:t xml:space="preserve">Magnitude of Financial Risk </w:t>
            </w:r>
          </w:p>
        </w:tc>
      </w:tr>
      <w:tr w:rsidR="00DD485B" w14:paraId="0765FF8C" w14:textId="77777777" w:rsidTr="007D0AF4">
        <w:tc>
          <w:tcPr>
            <w:tcW w:w="1288" w:type="dxa"/>
          </w:tcPr>
          <w:p w14:paraId="1B2CEF88" w14:textId="547DDEC7" w:rsidR="00F445DE" w:rsidRPr="00F445DE" w:rsidRDefault="00DD485B" w:rsidP="00F445DE">
            <w:pPr>
              <w:pStyle w:val="NormalWeb"/>
              <w:rPr>
                <w:rFonts w:ascii="Calibri" w:hAnsi="Calibri"/>
                <w:sz w:val="22"/>
                <w:szCs w:val="22"/>
              </w:rPr>
            </w:pPr>
            <w:r>
              <w:rPr>
                <w:rFonts w:ascii="Calibri" w:hAnsi="Calibri" w:cs="Arial"/>
                <w:sz w:val="22"/>
                <w:szCs w:val="22"/>
              </w:rPr>
              <w:t>Each r</w:t>
            </w:r>
            <w:r w:rsidR="00F445DE" w:rsidRPr="00F445DE">
              <w:rPr>
                <w:rFonts w:ascii="Calibri" w:hAnsi="Calibri" w:cs="Arial"/>
                <w:sz w:val="22"/>
                <w:szCs w:val="22"/>
              </w:rPr>
              <w:t xml:space="preserve">isk should be worded to clearly identify what the cause and effect of the risk is </w:t>
            </w:r>
          </w:p>
          <w:p w14:paraId="3B815B29" w14:textId="77777777" w:rsidR="007D0AF4" w:rsidRDefault="007D0AF4" w:rsidP="00FD5212">
            <w:pPr>
              <w:spacing w:before="100" w:beforeAutospacing="1" w:after="100" w:afterAutospacing="1"/>
              <w:rPr>
                <w:rFonts w:ascii="Calibri" w:eastAsia="Times New Roman" w:hAnsi="Calibri" w:cs="Times New Roman"/>
                <w:b/>
                <w:bCs/>
                <w:sz w:val="22"/>
                <w:szCs w:val="22"/>
                <w:lang w:eastAsia="en-GB"/>
              </w:rPr>
            </w:pPr>
          </w:p>
        </w:tc>
        <w:tc>
          <w:tcPr>
            <w:tcW w:w="1288" w:type="dxa"/>
          </w:tcPr>
          <w:p w14:paraId="6C931539" w14:textId="7FAD352B" w:rsidR="007D0AF4" w:rsidRPr="00F445DE" w:rsidRDefault="00F445DE"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Insert name of person accountable for each risk</w:t>
            </w:r>
          </w:p>
        </w:tc>
        <w:tc>
          <w:tcPr>
            <w:tcW w:w="1288" w:type="dxa"/>
          </w:tcPr>
          <w:p w14:paraId="14321E28" w14:textId="77777777" w:rsidR="007D0AF4"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Rare (1)</w:t>
            </w:r>
          </w:p>
          <w:p w14:paraId="05F74D25"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Unlikely (2)</w:t>
            </w:r>
          </w:p>
          <w:p w14:paraId="70EF6EF6"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Moderate (3)</w:t>
            </w:r>
          </w:p>
          <w:p w14:paraId="2E46C943"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Likely (4)</w:t>
            </w:r>
          </w:p>
          <w:p w14:paraId="61A22A09" w14:textId="47363C04"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Almost Certain (5)</w:t>
            </w:r>
          </w:p>
        </w:tc>
        <w:tc>
          <w:tcPr>
            <w:tcW w:w="1288" w:type="dxa"/>
          </w:tcPr>
          <w:p w14:paraId="346E2F16" w14:textId="77777777" w:rsidR="007D0AF4"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Insignificant (1)</w:t>
            </w:r>
          </w:p>
          <w:p w14:paraId="07EE99FD"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Minor (2)</w:t>
            </w:r>
          </w:p>
          <w:p w14:paraId="76A1B92D"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Moderate (3)</w:t>
            </w:r>
          </w:p>
          <w:p w14:paraId="6920CFBD" w14:textId="77777777"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Major (4)</w:t>
            </w:r>
          </w:p>
          <w:p w14:paraId="25337EB4" w14:textId="76795D06" w:rsidR="00F7496F" w:rsidRPr="00F445DE" w:rsidRDefault="00F7496F"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Extreme (5)</w:t>
            </w:r>
          </w:p>
        </w:tc>
        <w:tc>
          <w:tcPr>
            <w:tcW w:w="1288" w:type="dxa"/>
          </w:tcPr>
          <w:p w14:paraId="40AA2FBC" w14:textId="2FF766CD" w:rsidR="00F445DE" w:rsidRPr="00F445DE" w:rsidRDefault="00F445DE" w:rsidP="00F445DE">
            <w:pPr>
              <w:pStyle w:val="NormalWeb"/>
              <w:rPr>
                <w:rFonts w:asciiTheme="minorHAnsi" w:hAnsiTheme="minorHAnsi"/>
                <w:sz w:val="22"/>
                <w:szCs w:val="22"/>
              </w:rPr>
            </w:pPr>
            <w:r>
              <w:rPr>
                <w:rFonts w:asciiTheme="minorHAnsi" w:hAnsiTheme="minorHAnsi" w:cs="Arial"/>
                <w:sz w:val="22"/>
                <w:szCs w:val="22"/>
              </w:rPr>
              <w:t>T</w:t>
            </w:r>
            <w:r w:rsidRPr="00F445DE">
              <w:rPr>
                <w:rFonts w:asciiTheme="minorHAnsi" w:hAnsiTheme="minorHAnsi" w:cs="Arial"/>
                <w:sz w:val="22"/>
                <w:szCs w:val="22"/>
              </w:rPr>
              <w:t>he level of risk occurring in the absence of any actions management has taken to alter either the risk’s impact or probability</w:t>
            </w:r>
            <w:r>
              <w:rPr>
                <w:rFonts w:asciiTheme="minorHAnsi" w:hAnsiTheme="minorHAnsi" w:cs="Arial"/>
                <w:sz w:val="22"/>
                <w:szCs w:val="22"/>
              </w:rPr>
              <w:t>:</w:t>
            </w:r>
            <w:r w:rsidRPr="00F445DE">
              <w:rPr>
                <w:rFonts w:asciiTheme="minorHAnsi" w:hAnsiTheme="minorHAnsi" w:cs="Arial"/>
                <w:sz w:val="22"/>
                <w:szCs w:val="22"/>
              </w:rPr>
              <w:t xml:space="preserve"> </w:t>
            </w:r>
          </w:p>
          <w:p w14:paraId="241611E0" w14:textId="6549659A" w:rsidR="007D0AF4" w:rsidRPr="00F445DE" w:rsidRDefault="00F445DE" w:rsidP="00F445DE">
            <w:pPr>
              <w:spacing w:before="100" w:beforeAutospacing="1" w:after="100" w:afterAutospacing="1"/>
              <w:rPr>
                <w:rFonts w:eastAsia="Times New Roman" w:cs="Times New Roman"/>
                <w:sz w:val="22"/>
                <w:szCs w:val="22"/>
                <w:lang w:eastAsia="en-GB"/>
              </w:rPr>
            </w:pPr>
            <w:r w:rsidRPr="00F445DE">
              <w:rPr>
                <w:rFonts w:eastAsia="Times New Roman" w:cs="Times New Roman"/>
                <w:sz w:val="22"/>
                <w:szCs w:val="22"/>
                <w:lang w:eastAsia="en-GB"/>
              </w:rPr>
              <w:t xml:space="preserve">Low </w:t>
            </w:r>
          </w:p>
          <w:p w14:paraId="36EC11D1" w14:textId="77777777" w:rsidR="00F445DE" w:rsidRPr="00F445DE" w:rsidRDefault="00F445DE" w:rsidP="00FD5212">
            <w:pPr>
              <w:spacing w:before="100" w:beforeAutospacing="1" w:after="100" w:afterAutospacing="1"/>
              <w:rPr>
                <w:rFonts w:eastAsia="Times New Roman" w:cs="Times New Roman"/>
                <w:sz w:val="22"/>
                <w:szCs w:val="22"/>
                <w:lang w:eastAsia="en-GB"/>
              </w:rPr>
            </w:pPr>
            <w:r w:rsidRPr="00F445DE">
              <w:rPr>
                <w:rFonts w:eastAsia="Times New Roman" w:cs="Times New Roman"/>
                <w:sz w:val="22"/>
                <w:szCs w:val="22"/>
                <w:lang w:eastAsia="en-GB"/>
              </w:rPr>
              <w:t xml:space="preserve">Moderate </w:t>
            </w:r>
          </w:p>
          <w:p w14:paraId="33B51DAF" w14:textId="77777777" w:rsidR="00F445DE" w:rsidRPr="00F445DE" w:rsidRDefault="00F445DE" w:rsidP="00FD5212">
            <w:pPr>
              <w:spacing w:before="100" w:beforeAutospacing="1" w:after="100" w:afterAutospacing="1"/>
              <w:rPr>
                <w:rFonts w:eastAsia="Times New Roman" w:cs="Times New Roman"/>
                <w:sz w:val="22"/>
                <w:szCs w:val="22"/>
                <w:lang w:eastAsia="en-GB"/>
              </w:rPr>
            </w:pPr>
            <w:r w:rsidRPr="00F445DE">
              <w:rPr>
                <w:rFonts w:eastAsia="Times New Roman" w:cs="Times New Roman"/>
                <w:sz w:val="22"/>
                <w:szCs w:val="22"/>
                <w:lang w:eastAsia="en-GB"/>
              </w:rPr>
              <w:t xml:space="preserve">High </w:t>
            </w:r>
          </w:p>
          <w:p w14:paraId="4390744A" w14:textId="1D8F3C87" w:rsidR="00F445DE" w:rsidRPr="00F445DE" w:rsidRDefault="00F445DE" w:rsidP="00FD5212">
            <w:pPr>
              <w:spacing w:before="100" w:beforeAutospacing="1" w:after="100" w:afterAutospacing="1"/>
              <w:rPr>
                <w:rFonts w:eastAsia="Times New Roman" w:cs="Times New Roman"/>
                <w:sz w:val="22"/>
                <w:szCs w:val="22"/>
                <w:lang w:eastAsia="en-GB"/>
              </w:rPr>
            </w:pPr>
            <w:r w:rsidRPr="00F445DE">
              <w:rPr>
                <w:rFonts w:eastAsia="Times New Roman" w:cs="Times New Roman"/>
                <w:sz w:val="22"/>
                <w:szCs w:val="22"/>
                <w:lang w:eastAsia="en-GB"/>
              </w:rPr>
              <w:t>Critical</w:t>
            </w:r>
          </w:p>
        </w:tc>
        <w:tc>
          <w:tcPr>
            <w:tcW w:w="1289" w:type="dxa"/>
          </w:tcPr>
          <w:p w14:paraId="69B82F1C" w14:textId="72E4703B" w:rsidR="00DD485B" w:rsidRPr="00DD485B" w:rsidRDefault="00DD485B" w:rsidP="00DD485B">
            <w:pPr>
              <w:pStyle w:val="NormalWeb"/>
              <w:rPr>
                <w:rFonts w:ascii="Calibri" w:hAnsi="Calibri"/>
                <w:sz w:val="22"/>
                <w:szCs w:val="22"/>
              </w:rPr>
            </w:pPr>
            <w:r>
              <w:rPr>
                <w:rFonts w:ascii="Calibri" w:hAnsi="Calibri" w:cs="Arial"/>
                <w:sz w:val="22"/>
                <w:szCs w:val="22"/>
              </w:rPr>
              <w:t>T</w:t>
            </w:r>
            <w:r w:rsidRPr="00DD485B">
              <w:rPr>
                <w:rFonts w:ascii="Calibri" w:hAnsi="Calibri" w:cs="Arial"/>
                <w:sz w:val="22"/>
                <w:szCs w:val="22"/>
              </w:rPr>
              <w:t xml:space="preserve">he </w:t>
            </w:r>
            <w:r>
              <w:rPr>
                <w:rFonts w:ascii="Calibri" w:hAnsi="Calibri" w:cs="Arial"/>
                <w:sz w:val="22"/>
                <w:szCs w:val="22"/>
              </w:rPr>
              <w:t xml:space="preserve">proportionate </w:t>
            </w:r>
            <w:r w:rsidRPr="00DD485B">
              <w:rPr>
                <w:rFonts w:ascii="Calibri" w:hAnsi="Calibri" w:cs="Arial"/>
                <w:sz w:val="22"/>
                <w:szCs w:val="22"/>
              </w:rPr>
              <w:t xml:space="preserve">responses (mitigating actions) selected </w:t>
            </w:r>
            <w:r>
              <w:rPr>
                <w:rFonts w:ascii="Calibri" w:hAnsi="Calibri" w:cs="Arial"/>
                <w:sz w:val="22"/>
                <w:szCs w:val="22"/>
              </w:rPr>
              <w:t>to manage t</w:t>
            </w:r>
            <w:r w:rsidRPr="00DD485B">
              <w:rPr>
                <w:rFonts w:ascii="Calibri" w:hAnsi="Calibri" w:cs="Arial"/>
                <w:sz w:val="22"/>
                <w:szCs w:val="22"/>
              </w:rPr>
              <w:t xml:space="preserve">he risk </w:t>
            </w:r>
            <w:r>
              <w:rPr>
                <w:rFonts w:ascii="Calibri" w:hAnsi="Calibri" w:cs="Arial"/>
                <w:sz w:val="22"/>
                <w:szCs w:val="22"/>
              </w:rPr>
              <w:t xml:space="preserve">in the </w:t>
            </w:r>
            <w:r w:rsidRPr="00DD485B">
              <w:rPr>
                <w:rFonts w:ascii="Calibri" w:hAnsi="Calibri" w:cs="Arial"/>
                <w:sz w:val="22"/>
                <w:szCs w:val="22"/>
              </w:rPr>
              <w:t xml:space="preserve">most efficient way of reducing the residual risk </w:t>
            </w:r>
          </w:p>
          <w:p w14:paraId="17CA1DDE" w14:textId="77777777" w:rsidR="007D0AF4" w:rsidRPr="00F445DE" w:rsidRDefault="007D0AF4" w:rsidP="00FD5212">
            <w:pPr>
              <w:spacing w:before="100" w:beforeAutospacing="1" w:after="100" w:afterAutospacing="1"/>
              <w:rPr>
                <w:rFonts w:ascii="Calibri" w:eastAsia="Times New Roman" w:hAnsi="Calibri" w:cs="Times New Roman"/>
                <w:sz w:val="22"/>
                <w:szCs w:val="22"/>
                <w:lang w:eastAsia="en-GB"/>
              </w:rPr>
            </w:pPr>
          </w:p>
        </w:tc>
        <w:tc>
          <w:tcPr>
            <w:tcW w:w="1288" w:type="dxa"/>
          </w:tcPr>
          <w:p w14:paraId="3FE87F1A" w14:textId="514D3AFB" w:rsidR="007D0AF4" w:rsidRPr="00F445DE" w:rsidRDefault="00F445DE" w:rsidP="00FD5212">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 xml:space="preserve">Insert name of the control owner for each risk </w:t>
            </w:r>
          </w:p>
        </w:tc>
        <w:tc>
          <w:tcPr>
            <w:tcW w:w="1288" w:type="dxa"/>
          </w:tcPr>
          <w:p w14:paraId="36F5F2C2"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Rare (1)</w:t>
            </w:r>
          </w:p>
          <w:p w14:paraId="146EC16A"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Unlikely (2)</w:t>
            </w:r>
          </w:p>
          <w:p w14:paraId="77FEB72D"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Moderate (3)</w:t>
            </w:r>
          </w:p>
          <w:p w14:paraId="01C637FB"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Likely (4)</w:t>
            </w:r>
          </w:p>
          <w:p w14:paraId="5560DDCA" w14:textId="2C5E4AC3" w:rsidR="007D0AF4" w:rsidRDefault="00F445DE" w:rsidP="00F445DE">
            <w:pPr>
              <w:spacing w:before="100" w:beforeAutospacing="1" w:after="100" w:afterAutospacing="1"/>
              <w:rPr>
                <w:rFonts w:ascii="Calibri" w:eastAsia="Times New Roman" w:hAnsi="Calibri" w:cs="Times New Roman"/>
                <w:b/>
                <w:bCs/>
                <w:sz w:val="22"/>
                <w:szCs w:val="22"/>
                <w:lang w:eastAsia="en-GB"/>
              </w:rPr>
            </w:pPr>
            <w:r w:rsidRPr="00F7496F">
              <w:rPr>
                <w:rFonts w:ascii="Calibri" w:eastAsia="Times New Roman" w:hAnsi="Calibri" w:cs="Times New Roman"/>
                <w:sz w:val="22"/>
                <w:szCs w:val="22"/>
                <w:lang w:eastAsia="en-GB"/>
              </w:rPr>
              <w:t>Almost Certain (5)</w:t>
            </w:r>
          </w:p>
        </w:tc>
        <w:tc>
          <w:tcPr>
            <w:tcW w:w="1288" w:type="dxa"/>
          </w:tcPr>
          <w:p w14:paraId="205B6C4C"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Insignificant (1)</w:t>
            </w:r>
          </w:p>
          <w:p w14:paraId="6E566032"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Minor (2)</w:t>
            </w:r>
          </w:p>
          <w:p w14:paraId="02B54E09"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Moderate (3)</w:t>
            </w:r>
          </w:p>
          <w:p w14:paraId="007F6A18" w14:textId="77777777" w:rsidR="00F445DE" w:rsidRPr="00F7496F" w:rsidRDefault="00F445DE" w:rsidP="00F445DE">
            <w:pPr>
              <w:spacing w:before="100" w:beforeAutospacing="1" w:after="100" w:afterAutospacing="1"/>
              <w:rPr>
                <w:rFonts w:ascii="Calibri" w:eastAsia="Times New Roman" w:hAnsi="Calibri" w:cs="Times New Roman"/>
                <w:sz w:val="22"/>
                <w:szCs w:val="22"/>
                <w:lang w:eastAsia="en-GB"/>
              </w:rPr>
            </w:pPr>
            <w:r w:rsidRPr="00F7496F">
              <w:rPr>
                <w:rFonts w:ascii="Calibri" w:eastAsia="Times New Roman" w:hAnsi="Calibri" w:cs="Times New Roman"/>
                <w:sz w:val="22"/>
                <w:szCs w:val="22"/>
                <w:lang w:eastAsia="en-GB"/>
              </w:rPr>
              <w:t>Major (4)</w:t>
            </w:r>
          </w:p>
          <w:p w14:paraId="002963F5" w14:textId="3315BE63" w:rsidR="007D0AF4" w:rsidRDefault="00F445DE" w:rsidP="00F445DE">
            <w:pPr>
              <w:spacing w:before="100" w:beforeAutospacing="1" w:after="100" w:afterAutospacing="1"/>
              <w:rPr>
                <w:rFonts w:ascii="Calibri" w:eastAsia="Times New Roman" w:hAnsi="Calibri" w:cs="Times New Roman"/>
                <w:b/>
                <w:bCs/>
                <w:sz w:val="22"/>
                <w:szCs w:val="22"/>
                <w:lang w:eastAsia="en-GB"/>
              </w:rPr>
            </w:pPr>
            <w:r w:rsidRPr="00F7496F">
              <w:rPr>
                <w:rFonts w:ascii="Calibri" w:eastAsia="Times New Roman" w:hAnsi="Calibri" w:cs="Times New Roman"/>
                <w:sz w:val="22"/>
                <w:szCs w:val="22"/>
                <w:lang w:eastAsia="en-GB"/>
              </w:rPr>
              <w:t>Extreme (5)</w:t>
            </w:r>
          </w:p>
        </w:tc>
        <w:tc>
          <w:tcPr>
            <w:tcW w:w="1288" w:type="dxa"/>
          </w:tcPr>
          <w:p w14:paraId="05C2E7B8" w14:textId="3179EF6F" w:rsidR="00F445DE" w:rsidRPr="00DD485B" w:rsidRDefault="00F445DE" w:rsidP="00F445DE">
            <w:pPr>
              <w:pStyle w:val="NormalWeb"/>
              <w:rPr>
                <w:rFonts w:asciiTheme="minorHAnsi" w:hAnsiTheme="minorHAnsi"/>
                <w:sz w:val="22"/>
                <w:szCs w:val="22"/>
              </w:rPr>
            </w:pPr>
            <w:r w:rsidRPr="00DD485B">
              <w:rPr>
                <w:rFonts w:asciiTheme="minorHAnsi" w:hAnsiTheme="minorHAnsi" w:cs="Arial"/>
                <w:sz w:val="22"/>
                <w:szCs w:val="22"/>
              </w:rPr>
              <w:t xml:space="preserve">The rating given to the risk after action has been taken to alter the risk’s impact and probability: </w:t>
            </w:r>
          </w:p>
          <w:p w14:paraId="602C5116" w14:textId="436405E1" w:rsidR="00F445DE" w:rsidRPr="00DD485B" w:rsidRDefault="00F445DE" w:rsidP="00F445DE">
            <w:pPr>
              <w:spacing w:before="100" w:beforeAutospacing="1" w:after="100" w:afterAutospacing="1"/>
              <w:rPr>
                <w:rFonts w:eastAsia="Times New Roman" w:cs="Times New Roman"/>
                <w:sz w:val="22"/>
                <w:szCs w:val="22"/>
                <w:lang w:eastAsia="en-GB"/>
              </w:rPr>
            </w:pPr>
            <w:r w:rsidRPr="00DD485B">
              <w:rPr>
                <w:rFonts w:eastAsia="Times New Roman" w:cs="Times New Roman"/>
                <w:sz w:val="22"/>
                <w:szCs w:val="22"/>
                <w:lang w:eastAsia="en-GB"/>
              </w:rPr>
              <w:t xml:space="preserve">Low </w:t>
            </w:r>
          </w:p>
          <w:p w14:paraId="1F2FA065" w14:textId="77777777" w:rsidR="00F445DE" w:rsidRPr="00DD485B" w:rsidRDefault="00F445DE" w:rsidP="00F445DE">
            <w:pPr>
              <w:spacing w:before="100" w:beforeAutospacing="1" w:after="100" w:afterAutospacing="1"/>
              <w:rPr>
                <w:rFonts w:eastAsia="Times New Roman" w:cs="Times New Roman"/>
                <w:sz w:val="22"/>
                <w:szCs w:val="22"/>
                <w:lang w:eastAsia="en-GB"/>
              </w:rPr>
            </w:pPr>
            <w:r w:rsidRPr="00DD485B">
              <w:rPr>
                <w:rFonts w:eastAsia="Times New Roman" w:cs="Times New Roman"/>
                <w:sz w:val="22"/>
                <w:szCs w:val="22"/>
                <w:lang w:eastAsia="en-GB"/>
              </w:rPr>
              <w:t xml:space="preserve">Moderate </w:t>
            </w:r>
          </w:p>
          <w:p w14:paraId="01290FA6" w14:textId="77777777" w:rsidR="00F445DE" w:rsidRPr="00DD485B" w:rsidRDefault="00F445DE" w:rsidP="00F445DE">
            <w:pPr>
              <w:spacing w:before="100" w:beforeAutospacing="1" w:after="100" w:afterAutospacing="1"/>
              <w:rPr>
                <w:rFonts w:eastAsia="Times New Roman" w:cs="Times New Roman"/>
                <w:sz w:val="22"/>
                <w:szCs w:val="22"/>
                <w:lang w:eastAsia="en-GB"/>
              </w:rPr>
            </w:pPr>
            <w:r w:rsidRPr="00DD485B">
              <w:rPr>
                <w:rFonts w:eastAsia="Times New Roman" w:cs="Times New Roman"/>
                <w:sz w:val="22"/>
                <w:szCs w:val="22"/>
                <w:lang w:eastAsia="en-GB"/>
              </w:rPr>
              <w:t xml:space="preserve">High </w:t>
            </w:r>
          </w:p>
          <w:p w14:paraId="4EEC4BC0" w14:textId="1F49F553" w:rsidR="007D0AF4" w:rsidRPr="00DD485B" w:rsidRDefault="00F445DE" w:rsidP="00F445DE">
            <w:pPr>
              <w:spacing w:before="100" w:beforeAutospacing="1" w:after="100" w:afterAutospacing="1"/>
              <w:rPr>
                <w:rFonts w:eastAsia="Times New Roman" w:cs="Times New Roman"/>
                <w:b/>
                <w:bCs/>
                <w:sz w:val="22"/>
                <w:szCs w:val="22"/>
                <w:lang w:eastAsia="en-GB"/>
              </w:rPr>
            </w:pPr>
            <w:r w:rsidRPr="00DD485B">
              <w:rPr>
                <w:rFonts w:eastAsia="Times New Roman" w:cs="Times New Roman"/>
                <w:sz w:val="22"/>
                <w:szCs w:val="22"/>
                <w:lang w:eastAsia="en-GB"/>
              </w:rPr>
              <w:t>Critical</w:t>
            </w:r>
          </w:p>
        </w:tc>
        <w:tc>
          <w:tcPr>
            <w:tcW w:w="1289" w:type="dxa"/>
          </w:tcPr>
          <w:p w14:paraId="7A686E79" w14:textId="77777777" w:rsidR="00F7496F" w:rsidRPr="00F445DE" w:rsidRDefault="00F7496F" w:rsidP="00F7496F">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Low: Up to £100k</w:t>
            </w:r>
          </w:p>
          <w:p w14:paraId="13630F19" w14:textId="77777777" w:rsidR="00F7496F" w:rsidRPr="00F445DE" w:rsidRDefault="00F7496F" w:rsidP="00F7496F">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Moderate: £100k to 500k</w:t>
            </w:r>
          </w:p>
          <w:p w14:paraId="5A46DE5D" w14:textId="77777777" w:rsidR="00F7496F" w:rsidRPr="00F445DE" w:rsidRDefault="00F7496F" w:rsidP="00F7496F">
            <w:pPr>
              <w:spacing w:before="100" w:beforeAutospacing="1" w:after="100" w:afterAutospacing="1"/>
              <w:rPr>
                <w:rFonts w:ascii="Calibri" w:eastAsia="Times New Roman" w:hAnsi="Calibri" w:cs="Times New Roman"/>
                <w:sz w:val="22"/>
                <w:szCs w:val="22"/>
                <w:lang w:eastAsia="en-GB"/>
              </w:rPr>
            </w:pPr>
            <w:r w:rsidRPr="00F445DE">
              <w:rPr>
                <w:rFonts w:ascii="Calibri" w:eastAsia="Times New Roman" w:hAnsi="Calibri" w:cs="Times New Roman"/>
                <w:sz w:val="22"/>
                <w:szCs w:val="22"/>
                <w:lang w:eastAsia="en-GB"/>
              </w:rPr>
              <w:t>High: Over £500k</w:t>
            </w:r>
          </w:p>
          <w:p w14:paraId="6358764B" w14:textId="77777777" w:rsidR="007D0AF4" w:rsidRDefault="007D0AF4" w:rsidP="00FD5212">
            <w:pPr>
              <w:spacing w:before="100" w:beforeAutospacing="1" w:after="100" w:afterAutospacing="1"/>
              <w:rPr>
                <w:rFonts w:ascii="Calibri" w:eastAsia="Times New Roman" w:hAnsi="Calibri" w:cs="Times New Roman"/>
                <w:b/>
                <w:bCs/>
                <w:sz w:val="22"/>
                <w:szCs w:val="22"/>
                <w:lang w:eastAsia="en-GB"/>
              </w:rPr>
            </w:pPr>
          </w:p>
          <w:p w14:paraId="623A02BA" w14:textId="77777777" w:rsidR="00F7496F" w:rsidRDefault="00F7496F" w:rsidP="00FD5212">
            <w:pPr>
              <w:spacing w:before="100" w:beforeAutospacing="1" w:after="100" w:afterAutospacing="1"/>
              <w:rPr>
                <w:rFonts w:ascii="Calibri" w:eastAsia="Times New Roman" w:hAnsi="Calibri" w:cs="Times New Roman"/>
                <w:b/>
                <w:bCs/>
                <w:sz w:val="22"/>
                <w:szCs w:val="22"/>
                <w:lang w:eastAsia="en-GB"/>
              </w:rPr>
            </w:pPr>
          </w:p>
          <w:p w14:paraId="79E6E0D3" w14:textId="77777777" w:rsidR="00F7496F" w:rsidRDefault="00F7496F" w:rsidP="00FD5212">
            <w:pPr>
              <w:spacing w:before="100" w:beforeAutospacing="1" w:after="100" w:afterAutospacing="1"/>
              <w:rPr>
                <w:rFonts w:ascii="Calibri" w:eastAsia="Times New Roman" w:hAnsi="Calibri" w:cs="Times New Roman"/>
                <w:b/>
                <w:bCs/>
                <w:sz w:val="22"/>
                <w:szCs w:val="22"/>
                <w:lang w:eastAsia="en-GB"/>
              </w:rPr>
            </w:pPr>
          </w:p>
          <w:p w14:paraId="5A22E2DC" w14:textId="66879187" w:rsidR="00F7496F" w:rsidRDefault="00F7496F" w:rsidP="00FD5212">
            <w:pPr>
              <w:spacing w:before="100" w:beforeAutospacing="1" w:after="100" w:afterAutospacing="1"/>
              <w:rPr>
                <w:rFonts w:ascii="Calibri" w:eastAsia="Times New Roman" w:hAnsi="Calibri" w:cs="Times New Roman"/>
                <w:b/>
                <w:bCs/>
                <w:sz w:val="22"/>
                <w:szCs w:val="22"/>
                <w:lang w:eastAsia="en-GB"/>
              </w:rPr>
            </w:pPr>
          </w:p>
        </w:tc>
      </w:tr>
    </w:tbl>
    <w:p w14:paraId="799ECEB7" w14:textId="77777777" w:rsidR="00FD5212" w:rsidRDefault="00FD5212" w:rsidP="00FD5212">
      <w:pPr>
        <w:spacing w:before="100" w:beforeAutospacing="1" w:after="100" w:afterAutospacing="1"/>
        <w:rPr>
          <w:rFonts w:ascii="Calibri" w:eastAsia="Times New Roman" w:hAnsi="Calibri" w:cs="Times New Roman"/>
          <w:b/>
          <w:bCs/>
          <w:sz w:val="22"/>
          <w:szCs w:val="22"/>
          <w:lang w:eastAsia="en-GB"/>
        </w:rPr>
      </w:pPr>
    </w:p>
    <w:p w14:paraId="5E9C3FF2" w14:textId="77777777" w:rsidR="00362815" w:rsidRPr="00B33DA7" w:rsidRDefault="00362815" w:rsidP="001162BE">
      <w:pPr>
        <w:spacing w:before="100" w:beforeAutospacing="1" w:after="100" w:afterAutospacing="1"/>
        <w:rPr>
          <w:rFonts w:ascii="Calibri" w:hAnsi="Calibri"/>
          <w:color w:val="000000" w:themeColor="text1"/>
          <w:sz w:val="22"/>
          <w:szCs w:val="22"/>
        </w:rPr>
      </w:pPr>
    </w:p>
    <w:sectPr w:rsidR="00362815" w:rsidRPr="00B33DA7" w:rsidSect="007D0AF4">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2A86" w14:textId="77777777" w:rsidR="00B94536" w:rsidRDefault="00B94536" w:rsidP="00E43F8E">
      <w:r>
        <w:separator/>
      </w:r>
    </w:p>
  </w:endnote>
  <w:endnote w:type="continuationSeparator" w:id="0">
    <w:p w14:paraId="5573F801" w14:textId="77777777" w:rsidR="00B94536" w:rsidRDefault="00B94536" w:rsidP="00E4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742180"/>
      <w:docPartObj>
        <w:docPartGallery w:val="Page Numbers (Bottom of Page)"/>
        <w:docPartUnique/>
      </w:docPartObj>
    </w:sdtPr>
    <w:sdtEndPr>
      <w:rPr>
        <w:rStyle w:val="PageNumber"/>
      </w:rPr>
    </w:sdtEndPr>
    <w:sdtContent>
      <w:p w14:paraId="06CF18BD" w14:textId="381794E4" w:rsidR="001176B1" w:rsidRDefault="001176B1" w:rsidP="004B3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C139B1" w14:textId="77777777" w:rsidR="001176B1" w:rsidRDefault="001176B1" w:rsidP="00117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7630285"/>
      <w:docPartObj>
        <w:docPartGallery w:val="Page Numbers (Bottom of Page)"/>
        <w:docPartUnique/>
      </w:docPartObj>
    </w:sdtPr>
    <w:sdtEndPr>
      <w:rPr>
        <w:rStyle w:val="PageNumber"/>
      </w:rPr>
    </w:sdtEndPr>
    <w:sdtContent>
      <w:p w14:paraId="7BC72BA4" w14:textId="5EEEAF10" w:rsidR="004B31AB" w:rsidRDefault="004B31AB" w:rsidP="00597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A9DB8F" w14:textId="5C22291B" w:rsidR="001176B1" w:rsidRDefault="001176B1" w:rsidP="004B31AB">
    <w:pPr>
      <w:pStyle w:val="Footer"/>
      <w:framePr w:wrap="none" w:vAnchor="text" w:hAnchor="margin" w:xAlign="right" w:y="1"/>
      <w:ind w:right="360"/>
      <w:rPr>
        <w:rStyle w:val="PageNumber"/>
      </w:rPr>
    </w:pPr>
  </w:p>
  <w:p w14:paraId="56D4400B" w14:textId="77777777" w:rsidR="001176B1" w:rsidRDefault="001176B1" w:rsidP="001176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9E52" w14:textId="258FE061" w:rsidR="00185D35" w:rsidRDefault="00185D3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0777" w14:textId="77777777" w:rsidR="00B94536" w:rsidRDefault="00B94536" w:rsidP="00E43F8E">
      <w:r>
        <w:separator/>
      </w:r>
    </w:p>
  </w:footnote>
  <w:footnote w:type="continuationSeparator" w:id="0">
    <w:p w14:paraId="1910EF6A" w14:textId="77777777" w:rsidR="00B94536" w:rsidRDefault="00B94536" w:rsidP="00E4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4320" w14:textId="77777777" w:rsidR="00B32FD5" w:rsidRDefault="00B32FD5" w:rsidP="00B32FD5">
    <w:pPr>
      <w:pStyle w:val="Header"/>
      <w:jc w:val="right"/>
    </w:pPr>
  </w:p>
  <w:p w14:paraId="34C8DDEA" w14:textId="77777777" w:rsidR="00B32FD5" w:rsidRDefault="00B3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BF7"/>
    <w:multiLevelType w:val="hybridMultilevel"/>
    <w:tmpl w:val="34946C08"/>
    <w:lvl w:ilvl="0" w:tplc="D54A0B98">
      <w:start w:val="3"/>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34578"/>
    <w:multiLevelType w:val="multilevel"/>
    <w:tmpl w:val="8122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88C"/>
    <w:multiLevelType w:val="hybridMultilevel"/>
    <w:tmpl w:val="EC0623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F4477"/>
    <w:multiLevelType w:val="multilevel"/>
    <w:tmpl w:val="815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741BB"/>
    <w:multiLevelType w:val="hybridMultilevel"/>
    <w:tmpl w:val="34946C08"/>
    <w:lvl w:ilvl="0" w:tplc="D54A0B98">
      <w:start w:val="3"/>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96377"/>
    <w:multiLevelType w:val="hybridMultilevel"/>
    <w:tmpl w:val="1D46466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4007BCC"/>
    <w:multiLevelType w:val="multilevel"/>
    <w:tmpl w:val="3EDE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F690F"/>
    <w:multiLevelType w:val="multilevel"/>
    <w:tmpl w:val="710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53EEA"/>
    <w:multiLevelType w:val="hybridMultilevel"/>
    <w:tmpl w:val="8C9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3534D"/>
    <w:multiLevelType w:val="hybridMultilevel"/>
    <w:tmpl w:val="E4460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F2D9C"/>
    <w:multiLevelType w:val="hybridMultilevel"/>
    <w:tmpl w:val="DB76DB5A"/>
    <w:lvl w:ilvl="0" w:tplc="CEF62A06">
      <w:start w:val="1"/>
      <w:numFmt w:val="decimal"/>
      <w:lvlText w:val="%1."/>
      <w:lvlJc w:val="left"/>
      <w:pPr>
        <w:ind w:left="838" w:hanging="720"/>
      </w:pPr>
      <w:rPr>
        <w:rFonts w:hint="default"/>
        <w:b/>
        <w:bCs/>
        <w:spacing w:val="-1"/>
        <w:w w:val="100"/>
        <w:lang w:val="en-GB" w:eastAsia="en-GB" w:bidi="en-GB"/>
      </w:rPr>
    </w:lvl>
    <w:lvl w:ilvl="1" w:tplc="B69E5F94">
      <w:numFmt w:val="bullet"/>
      <w:lvlText w:val=""/>
      <w:lvlJc w:val="left"/>
      <w:pPr>
        <w:ind w:left="910" w:hanging="432"/>
      </w:pPr>
      <w:rPr>
        <w:rFonts w:ascii="Symbol" w:eastAsia="Symbol" w:hAnsi="Symbol" w:cs="Symbol" w:hint="default"/>
        <w:w w:val="100"/>
        <w:sz w:val="22"/>
        <w:szCs w:val="22"/>
        <w:lang w:val="en-GB" w:eastAsia="en-GB" w:bidi="en-GB"/>
      </w:rPr>
    </w:lvl>
    <w:lvl w:ilvl="2" w:tplc="23A86B6E">
      <w:numFmt w:val="bullet"/>
      <w:lvlText w:val="•"/>
      <w:lvlJc w:val="left"/>
      <w:pPr>
        <w:ind w:left="980" w:hanging="432"/>
      </w:pPr>
      <w:rPr>
        <w:rFonts w:hint="default"/>
        <w:lang w:val="en-GB" w:eastAsia="en-GB" w:bidi="en-GB"/>
      </w:rPr>
    </w:lvl>
    <w:lvl w:ilvl="3" w:tplc="C5F28EA6">
      <w:numFmt w:val="bullet"/>
      <w:lvlText w:val="•"/>
      <w:lvlJc w:val="left"/>
      <w:pPr>
        <w:ind w:left="2020" w:hanging="432"/>
      </w:pPr>
      <w:rPr>
        <w:rFonts w:hint="default"/>
        <w:lang w:val="en-GB" w:eastAsia="en-GB" w:bidi="en-GB"/>
      </w:rPr>
    </w:lvl>
    <w:lvl w:ilvl="4" w:tplc="FA38D17E">
      <w:numFmt w:val="bullet"/>
      <w:lvlText w:val="•"/>
      <w:lvlJc w:val="left"/>
      <w:pPr>
        <w:ind w:left="3061" w:hanging="432"/>
      </w:pPr>
      <w:rPr>
        <w:rFonts w:hint="default"/>
        <w:lang w:val="en-GB" w:eastAsia="en-GB" w:bidi="en-GB"/>
      </w:rPr>
    </w:lvl>
    <w:lvl w:ilvl="5" w:tplc="8F10DA2C">
      <w:numFmt w:val="bullet"/>
      <w:lvlText w:val="•"/>
      <w:lvlJc w:val="left"/>
      <w:pPr>
        <w:ind w:left="4102" w:hanging="432"/>
      </w:pPr>
      <w:rPr>
        <w:rFonts w:hint="default"/>
        <w:lang w:val="en-GB" w:eastAsia="en-GB" w:bidi="en-GB"/>
      </w:rPr>
    </w:lvl>
    <w:lvl w:ilvl="6" w:tplc="7448797E">
      <w:numFmt w:val="bullet"/>
      <w:lvlText w:val="•"/>
      <w:lvlJc w:val="left"/>
      <w:pPr>
        <w:ind w:left="5143" w:hanging="432"/>
      </w:pPr>
      <w:rPr>
        <w:rFonts w:hint="default"/>
        <w:lang w:val="en-GB" w:eastAsia="en-GB" w:bidi="en-GB"/>
      </w:rPr>
    </w:lvl>
    <w:lvl w:ilvl="7" w:tplc="43E89F52">
      <w:numFmt w:val="bullet"/>
      <w:lvlText w:val="•"/>
      <w:lvlJc w:val="left"/>
      <w:pPr>
        <w:ind w:left="6184" w:hanging="432"/>
      </w:pPr>
      <w:rPr>
        <w:rFonts w:hint="default"/>
        <w:lang w:val="en-GB" w:eastAsia="en-GB" w:bidi="en-GB"/>
      </w:rPr>
    </w:lvl>
    <w:lvl w:ilvl="8" w:tplc="82125572">
      <w:numFmt w:val="bullet"/>
      <w:lvlText w:val="•"/>
      <w:lvlJc w:val="left"/>
      <w:pPr>
        <w:ind w:left="7224" w:hanging="432"/>
      </w:pPr>
      <w:rPr>
        <w:rFonts w:hint="default"/>
        <w:lang w:val="en-GB" w:eastAsia="en-GB" w:bidi="en-GB"/>
      </w:rPr>
    </w:lvl>
  </w:abstractNum>
  <w:abstractNum w:abstractNumId="11" w15:restartNumberingAfterBreak="0">
    <w:nsid w:val="359609DF"/>
    <w:multiLevelType w:val="hybridMultilevel"/>
    <w:tmpl w:val="B0203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2362B"/>
    <w:multiLevelType w:val="multilevel"/>
    <w:tmpl w:val="C23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F26E5"/>
    <w:multiLevelType w:val="hybridMultilevel"/>
    <w:tmpl w:val="CC2681B0"/>
    <w:lvl w:ilvl="0" w:tplc="9A88F8BA">
      <w:start w:val="1"/>
      <w:numFmt w:val="decimal"/>
      <w:lvlText w:val="%1."/>
      <w:lvlJc w:val="left"/>
      <w:pPr>
        <w:ind w:left="838" w:hanging="360"/>
      </w:pPr>
      <w:rPr>
        <w:rFonts w:ascii="Arial" w:eastAsia="Arial" w:hAnsi="Arial" w:cs="Arial" w:hint="default"/>
        <w:spacing w:val="-1"/>
        <w:w w:val="99"/>
        <w:sz w:val="24"/>
        <w:szCs w:val="24"/>
        <w:lang w:val="en-GB" w:eastAsia="en-GB" w:bidi="en-GB"/>
      </w:rPr>
    </w:lvl>
    <w:lvl w:ilvl="1" w:tplc="807CBCBA">
      <w:numFmt w:val="bullet"/>
      <w:lvlText w:val="•"/>
      <w:lvlJc w:val="left"/>
      <w:pPr>
        <w:ind w:left="1686" w:hanging="360"/>
      </w:pPr>
      <w:rPr>
        <w:rFonts w:hint="default"/>
        <w:lang w:val="en-GB" w:eastAsia="en-GB" w:bidi="en-GB"/>
      </w:rPr>
    </w:lvl>
    <w:lvl w:ilvl="2" w:tplc="B896063C">
      <w:numFmt w:val="bullet"/>
      <w:lvlText w:val="•"/>
      <w:lvlJc w:val="left"/>
      <w:pPr>
        <w:ind w:left="2533" w:hanging="360"/>
      </w:pPr>
      <w:rPr>
        <w:rFonts w:hint="default"/>
        <w:lang w:val="en-GB" w:eastAsia="en-GB" w:bidi="en-GB"/>
      </w:rPr>
    </w:lvl>
    <w:lvl w:ilvl="3" w:tplc="7248B9DA">
      <w:numFmt w:val="bullet"/>
      <w:lvlText w:val="•"/>
      <w:lvlJc w:val="left"/>
      <w:pPr>
        <w:ind w:left="3379" w:hanging="360"/>
      </w:pPr>
      <w:rPr>
        <w:rFonts w:hint="default"/>
        <w:lang w:val="en-GB" w:eastAsia="en-GB" w:bidi="en-GB"/>
      </w:rPr>
    </w:lvl>
    <w:lvl w:ilvl="4" w:tplc="78E2FC56">
      <w:numFmt w:val="bullet"/>
      <w:lvlText w:val="•"/>
      <w:lvlJc w:val="left"/>
      <w:pPr>
        <w:ind w:left="4226" w:hanging="360"/>
      </w:pPr>
      <w:rPr>
        <w:rFonts w:hint="default"/>
        <w:lang w:val="en-GB" w:eastAsia="en-GB" w:bidi="en-GB"/>
      </w:rPr>
    </w:lvl>
    <w:lvl w:ilvl="5" w:tplc="29B212AE">
      <w:numFmt w:val="bullet"/>
      <w:lvlText w:val="•"/>
      <w:lvlJc w:val="left"/>
      <w:pPr>
        <w:ind w:left="5073" w:hanging="360"/>
      </w:pPr>
      <w:rPr>
        <w:rFonts w:hint="default"/>
        <w:lang w:val="en-GB" w:eastAsia="en-GB" w:bidi="en-GB"/>
      </w:rPr>
    </w:lvl>
    <w:lvl w:ilvl="6" w:tplc="13DACF58">
      <w:numFmt w:val="bullet"/>
      <w:lvlText w:val="•"/>
      <w:lvlJc w:val="left"/>
      <w:pPr>
        <w:ind w:left="5919" w:hanging="360"/>
      </w:pPr>
      <w:rPr>
        <w:rFonts w:hint="default"/>
        <w:lang w:val="en-GB" w:eastAsia="en-GB" w:bidi="en-GB"/>
      </w:rPr>
    </w:lvl>
    <w:lvl w:ilvl="7" w:tplc="EFE81ED4">
      <w:numFmt w:val="bullet"/>
      <w:lvlText w:val="•"/>
      <w:lvlJc w:val="left"/>
      <w:pPr>
        <w:ind w:left="6766" w:hanging="360"/>
      </w:pPr>
      <w:rPr>
        <w:rFonts w:hint="default"/>
        <w:lang w:val="en-GB" w:eastAsia="en-GB" w:bidi="en-GB"/>
      </w:rPr>
    </w:lvl>
    <w:lvl w:ilvl="8" w:tplc="F1D073DE">
      <w:numFmt w:val="bullet"/>
      <w:lvlText w:val="•"/>
      <w:lvlJc w:val="left"/>
      <w:pPr>
        <w:ind w:left="7613" w:hanging="360"/>
      </w:pPr>
      <w:rPr>
        <w:rFonts w:hint="default"/>
        <w:lang w:val="en-GB" w:eastAsia="en-GB" w:bidi="en-GB"/>
      </w:rPr>
    </w:lvl>
  </w:abstractNum>
  <w:abstractNum w:abstractNumId="14" w15:restartNumberingAfterBreak="0">
    <w:nsid w:val="3BF61A31"/>
    <w:multiLevelType w:val="hybridMultilevel"/>
    <w:tmpl w:val="01E02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8465C"/>
    <w:multiLevelType w:val="multilevel"/>
    <w:tmpl w:val="063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83902"/>
    <w:multiLevelType w:val="hybridMultilevel"/>
    <w:tmpl w:val="957074BC"/>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BCB6139"/>
    <w:multiLevelType w:val="hybridMultilevel"/>
    <w:tmpl w:val="E8D0F9F4"/>
    <w:lvl w:ilvl="0" w:tplc="CF465106">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6101E"/>
    <w:multiLevelType w:val="hybridMultilevel"/>
    <w:tmpl w:val="0C068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E244A"/>
    <w:multiLevelType w:val="hybridMultilevel"/>
    <w:tmpl w:val="EBE66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909FE"/>
    <w:multiLevelType w:val="multilevel"/>
    <w:tmpl w:val="080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B72D7"/>
    <w:multiLevelType w:val="hybridMultilevel"/>
    <w:tmpl w:val="E606FE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46CA9"/>
    <w:multiLevelType w:val="hybridMultilevel"/>
    <w:tmpl w:val="CF80F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37A2C"/>
    <w:multiLevelType w:val="multilevel"/>
    <w:tmpl w:val="9C2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726EF1"/>
    <w:multiLevelType w:val="multilevel"/>
    <w:tmpl w:val="D89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265098">
    <w:abstractNumId w:val="12"/>
  </w:num>
  <w:num w:numId="2" w16cid:durableId="192307569">
    <w:abstractNumId w:val="20"/>
  </w:num>
  <w:num w:numId="3" w16cid:durableId="469369167">
    <w:abstractNumId w:val="7"/>
  </w:num>
  <w:num w:numId="4" w16cid:durableId="919295296">
    <w:abstractNumId w:val="18"/>
  </w:num>
  <w:num w:numId="5" w16cid:durableId="4718957">
    <w:abstractNumId w:val="21"/>
  </w:num>
  <w:num w:numId="6" w16cid:durableId="238253544">
    <w:abstractNumId w:val="4"/>
  </w:num>
  <w:num w:numId="7" w16cid:durableId="1950311804">
    <w:abstractNumId w:val="14"/>
  </w:num>
  <w:num w:numId="8" w16cid:durableId="1091316125">
    <w:abstractNumId w:val="0"/>
  </w:num>
  <w:num w:numId="9" w16cid:durableId="948045747">
    <w:abstractNumId w:val="15"/>
  </w:num>
  <w:num w:numId="10" w16cid:durableId="1375690807">
    <w:abstractNumId w:val="3"/>
  </w:num>
  <w:num w:numId="11" w16cid:durableId="181479071">
    <w:abstractNumId w:val="24"/>
  </w:num>
  <w:num w:numId="12" w16cid:durableId="483207662">
    <w:abstractNumId w:val="16"/>
  </w:num>
  <w:num w:numId="13" w16cid:durableId="967662487">
    <w:abstractNumId w:val="9"/>
  </w:num>
  <w:num w:numId="14" w16cid:durableId="210504855">
    <w:abstractNumId w:val="11"/>
  </w:num>
  <w:num w:numId="15" w16cid:durableId="730034904">
    <w:abstractNumId w:val="6"/>
  </w:num>
  <w:num w:numId="16" w16cid:durableId="1169055419">
    <w:abstractNumId w:val="8"/>
  </w:num>
  <w:num w:numId="17" w16cid:durableId="1409306766">
    <w:abstractNumId w:val="23"/>
  </w:num>
  <w:num w:numId="18" w16cid:durableId="1086730972">
    <w:abstractNumId w:val="1"/>
  </w:num>
  <w:num w:numId="19" w16cid:durableId="477454344">
    <w:abstractNumId w:val="5"/>
  </w:num>
  <w:num w:numId="20" w16cid:durableId="1959296680">
    <w:abstractNumId w:val="22"/>
  </w:num>
  <w:num w:numId="21" w16cid:durableId="1154419878">
    <w:abstractNumId w:val="19"/>
  </w:num>
  <w:num w:numId="22" w16cid:durableId="1875193253">
    <w:abstractNumId w:val="2"/>
  </w:num>
  <w:num w:numId="23" w16cid:durableId="1552110995">
    <w:abstractNumId w:val="17"/>
  </w:num>
  <w:num w:numId="24" w16cid:durableId="185752195">
    <w:abstractNumId w:val="10"/>
  </w:num>
  <w:num w:numId="25" w16cid:durableId="1707756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F8"/>
    <w:rsid w:val="0002667A"/>
    <w:rsid w:val="00034C26"/>
    <w:rsid w:val="000439FE"/>
    <w:rsid w:val="001162BE"/>
    <w:rsid w:val="001176B1"/>
    <w:rsid w:val="00126F6C"/>
    <w:rsid w:val="00143285"/>
    <w:rsid w:val="00151923"/>
    <w:rsid w:val="00175E53"/>
    <w:rsid w:val="00185D35"/>
    <w:rsid w:val="001A4095"/>
    <w:rsid w:val="001C39DA"/>
    <w:rsid w:val="00204234"/>
    <w:rsid w:val="00220069"/>
    <w:rsid w:val="002347E5"/>
    <w:rsid w:val="002A492F"/>
    <w:rsid w:val="002C6515"/>
    <w:rsid w:val="003014F1"/>
    <w:rsid w:val="00362815"/>
    <w:rsid w:val="00373704"/>
    <w:rsid w:val="003F12C6"/>
    <w:rsid w:val="004853F2"/>
    <w:rsid w:val="004B31AB"/>
    <w:rsid w:val="004C0AA3"/>
    <w:rsid w:val="004D4E58"/>
    <w:rsid w:val="005139D1"/>
    <w:rsid w:val="005D51CF"/>
    <w:rsid w:val="006A19CB"/>
    <w:rsid w:val="006B4A86"/>
    <w:rsid w:val="00714EC6"/>
    <w:rsid w:val="007518F1"/>
    <w:rsid w:val="007677BB"/>
    <w:rsid w:val="00797B69"/>
    <w:rsid w:val="007C7BEB"/>
    <w:rsid w:val="007D0AF4"/>
    <w:rsid w:val="007D45D3"/>
    <w:rsid w:val="0083044F"/>
    <w:rsid w:val="00867120"/>
    <w:rsid w:val="008D6CEF"/>
    <w:rsid w:val="008E4390"/>
    <w:rsid w:val="008F21D1"/>
    <w:rsid w:val="00931CF1"/>
    <w:rsid w:val="00952489"/>
    <w:rsid w:val="00964150"/>
    <w:rsid w:val="0098600B"/>
    <w:rsid w:val="009B4A1D"/>
    <w:rsid w:val="009B70BE"/>
    <w:rsid w:val="009D12E6"/>
    <w:rsid w:val="009F79C1"/>
    <w:rsid w:val="00A579B9"/>
    <w:rsid w:val="00A73A76"/>
    <w:rsid w:val="00AC2F0B"/>
    <w:rsid w:val="00AF5DEA"/>
    <w:rsid w:val="00B1510F"/>
    <w:rsid w:val="00B32FD5"/>
    <w:rsid w:val="00B33DA7"/>
    <w:rsid w:val="00B5476C"/>
    <w:rsid w:val="00B66017"/>
    <w:rsid w:val="00B905F8"/>
    <w:rsid w:val="00B9296E"/>
    <w:rsid w:val="00B94536"/>
    <w:rsid w:val="00BE6E91"/>
    <w:rsid w:val="00C04238"/>
    <w:rsid w:val="00C34396"/>
    <w:rsid w:val="00CC5911"/>
    <w:rsid w:val="00D74D0B"/>
    <w:rsid w:val="00DD485B"/>
    <w:rsid w:val="00DD4C48"/>
    <w:rsid w:val="00DE4B96"/>
    <w:rsid w:val="00DE555C"/>
    <w:rsid w:val="00DF169F"/>
    <w:rsid w:val="00DF31A0"/>
    <w:rsid w:val="00E004DE"/>
    <w:rsid w:val="00E02AD0"/>
    <w:rsid w:val="00E36803"/>
    <w:rsid w:val="00E43F8E"/>
    <w:rsid w:val="00E76EEF"/>
    <w:rsid w:val="00F00A30"/>
    <w:rsid w:val="00F24B60"/>
    <w:rsid w:val="00F445DE"/>
    <w:rsid w:val="00F4794D"/>
    <w:rsid w:val="00F7496F"/>
    <w:rsid w:val="00FD5212"/>
    <w:rsid w:val="00FE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1D10"/>
  <w15:chartTrackingRefBased/>
  <w15:docId w15:val="{81A7D086-B317-2D44-B567-43084BEF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5D35"/>
    <w:pPr>
      <w:widowControl w:val="0"/>
      <w:autoSpaceDE w:val="0"/>
      <w:autoSpaceDN w:val="0"/>
      <w:spacing w:before="1"/>
      <w:ind w:left="118" w:right="2681"/>
      <w:jc w:val="center"/>
      <w:outlineLvl w:val="0"/>
    </w:pPr>
    <w:rPr>
      <w:rFonts w:ascii="Arial" w:eastAsia="Arial" w:hAnsi="Arial" w:cs="Arial"/>
      <w:b/>
      <w:bCs/>
      <w:sz w:val="28"/>
      <w:szCs w:val="28"/>
      <w:lang w:eastAsia="en-GB" w:bidi="en-GB"/>
    </w:rPr>
  </w:style>
  <w:style w:type="paragraph" w:styleId="Heading2">
    <w:name w:val="heading 2"/>
    <w:basedOn w:val="Normal"/>
    <w:link w:val="Heading2Char"/>
    <w:uiPriority w:val="9"/>
    <w:unhideWhenUsed/>
    <w:qFormat/>
    <w:rsid w:val="00185D35"/>
    <w:pPr>
      <w:widowControl w:val="0"/>
      <w:autoSpaceDE w:val="0"/>
      <w:autoSpaceDN w:val="0"/>
      <w:ind w:left="838" w:hanging="361"/>
      <w:outlineLvl w:val="1"/>
    </w:pPr>
    <w:rPr>
      <w:rFonts w:ascii="Arial" w:eastAsia="Arial" w:hAnsi="Arial" w:cs="Arial"/>
      <w:lang w:eastAsia="en-GB" w:bidi="en-GB"/>
    </w:rPr>
  </w:style>
  <w:style w:type="paragraph" w:styleId="Heading3">
    <w:name w:val="heading 3"/>
    <w:basedOn w:val="Normal"/>
    <w:link w:val="Heading3Char"/>
    <w:uiPriority w:val="9"/>
    <w:unhideWhenUsed/>
    <w:qFormat/>
    <w:rsid w:val="00185D35"/>
    <w:pPr>
      <w:widowControl w:val="0"/>
      <w:autoSpaceDE w:val="0"/>
      <w:autoSpaceDN w:val="0"/>
      <w:ind w:left="838" w:hanging="721"/>
      <w:jc w:val="both"/>
      <w:outlineLvl w:val="2"/>
    </w:pPr>
    <w:rPr>
      <w:rFonts w:ascii="Arial" w:eastAsia="Arial" w:hAnsi="Arial" w:cs="Arial"/>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5F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1"/>
    <w:qFormat/>
    <w:rsid w:val="00E004DE"/>
    <w:pPr>
      <w:ind w:left="720"/>
      <w:contextualSpacing/>
    </w:pPr>
  </w:style>
  <w:style w:type="table" w:styleId="TableGrid">
    <w:name w:val="Table Grid"/>
    <w:basedOn w:val="TableNormal"/>
    <w:uiPriority w:val="39"/>
    <w:rsid w:val="009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F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F8E"/>
    <w:rPr>
      <w:rFonts w:ascii="Times New Roman" w:hAnsi="Times New Roman" w:cs="Times New Roman"/>
      <w:sz w:val="18"/>
      <w:szCs w:val="18"/>
    </w:rPr>
  </w:style>
  <w:style w:type="paragraph" w:styleId="Header">
    <w:name w:val="header"/>
    <w:basedOn w:val="Normal"/>
    <w:link w:val="HeaderChar"/>
    <w:uiPriority w:val="99"/>
    <w:unhideWhenUsed/>
    <w:rsid w:val="00E43F8E"/>
    <w:pPr>
      <w:tabs>
        <w:tab w:val="center" w:pos="4513"/>
        <w:tab w:val="right" w:pos="9026"/>
      </w:tabs>
    </w:pPr>
  </w:style>
  <w:style w:type="character" w:customStyle="1" w:styleId="HeaderChar">
    <w:name w:val="Header Char"/>
    <w:basedOn w:val="DefaultParagraphFont"/>
    <w:link w:val="Header"/>
    <w:uiPriority w:val="99"/>
    <w:rsid w:val="00E43F8E"/>
  </w:style>
  <w:style w:type="paragraph" w:styleId="Footer">
    <w:name w:val="footer"/>
    <w:basedOn w:val="Normal"/>
    <w:link w:val="FooterChar"/>
    <w:uiPriority w:val="99"/>
    <w:unhideWhenUsed/>
    <w:rsid w:val="00E43F8E"/>
    <w:pPr>
      <w:tabs>
        <w:tab w:val="center" w:pos="4513"/>
        <w:tab w:val="right" w:pos="9026"/>
      </w:tabs>
    </w:pPr>
  </w:style>
  <w:style w:type="character" w:customStyle="1" w:styleId="FooterChar">
    <w:name w:val="Footer Char"/>
    <w:basedOn w:val="DefaultParagraphFont"/>
    <w:link w:val="Footer"/>
    <w:uiPriority w:val="99"/>
    <w:rsid w:val="00E43F8E"/>
  </w:style>
  <w:style w:type="paragraph" w:customStyle="1" w:styleId="TableParagraph">
    <w:name w:val="Table Paragraph"/>
    <w:basedOn w:val="Normal"/>
    <w:uiPriority w:val="1"/>
    <w:qFormat/>
    <w:rsid w:val="00143285"/>
    <w:pPr>
      <w:widowControl w:val="0"/>
      <w:autoSpaceDE w:val="0"/>
      <w:autoSpaceDN w:val="0"/>
    </w:pPr>
    <w:rPr>
      <w:rFonts w:ascii="Arial" w:eastAsia="Arial" w:hAnsi="Arial" w:cs="Arial"/>
      <w:sz w:val="22"/>
      <w:szCs w:val="22"/>
      <w:lang w:eastAsia="en-GB" w:bidi="en-GB"/>
    </w:rPr>
  </w:style>
  <w:style w:type="character" w:customStyle="1" w:styleId="Heading1Char">
    <w:name w:val="Heading 1 Char"/>
    <w:basedOn w:val="DefaultParagraphFont"/>
    <w:link w:val="Heading1"/>
    <w:uiPriority w:val="9"/>
    <w:rsid w:val="00185D35"/>
    <w:rPr>
      <w:rFonts w:ascii="Arial" w:eastAsia="Arial" w:hAnsi="Arial" w:cs="Arial"/>
      <w:b/>
      <w:bCs/>
      <w:sz w:val="28"/>
      <w:szCs w:val="28"/>
      <w:lang w:eastAsia="en-GB" w:bidi="en-GB"/>
    </w:rPr>
  </w:style>
  <w:style w:type="character" w:customStyle="1" w:styleId="Heading2Char">
    <w:name w:val="Heading 2 Char"/>
    <w:basedOn w:val="DefaultParagraphFont"/>
    <w:link w:val="Heading2"/>
    <w:uiPriority w:val="9"/>
    <w:rsid w:val="00185D35"/>
    <w:rPr>
      <w:rFonts w:ascii="Arial" w:eastAsia="Arial" w:hAnsi="Arial" w:cs="Arial"/>
      <w:lang w:eastAsia="en-GB" w:bidi="en-GB"/>
    </w:rPr>
  </w:style>
  <w:style w:type="character" w:customStyle="1" w:styleId="Heading3Char">
    <w:name w:val="Heading 3 Char"/>
    <w:basedOn w:val="DefaultParagraphFont"/>
    <w:link w:val="Heading3"/>
    <w:uiPriority w:val="9"/>
    <w:rsid w:val="00185D35"/>
    <w:rPr>
      <w:rFonts w:ascii="Arial" w:eastAsia="Arial" w:hAnsi="Arial" w:cs="Arial"/>
      <w:b/>
      <w:bCs/>
      <w:sz w:val="22"/>
      <w:szCs w:val="22"/>
      <w:lang w:eastAsia="en-GB" w:bidi="en-GB"/>
    </w:rPr>
  </w:style>
  <w:style w:type="paragraph" w:styleId="BodyText">
    <w:name w:val="Body Text"/>
    <w:basedOn w:val="Normal"/>
    <w:link w:val="BodyTextChar"/>
    <w:uiPriority w:val="1"/>
    <w:qFormat/>
    <w:rsid w:val="00185D35"/>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85D35"/>
    <w:rPr>
      <w:rFonts w:ascii="Arial" w:eastAsia="Arial" w:hAnsi="Arial" w:cs="Arial"/>
      <w:sz w:val="22"/>
      <w:szCs w:val="22"/>
      <w:lang w:eastAsia="en-GB" w:bidi="en-GB"/>
    </w:rPr>
  </w:style>
  <w:style w:type="character" w:styleId="PageNumber">
    <w:name w:val="page number"/>
    <w:basedOn w:val="DefaultParagraphFont"/>
    <w:uiPriority w:val="99"/>
    <w:semiHidden/>
    <w:unhideWhenUsed/>
    <w:rsid w:val="001176B1"/>
  </w:style>
  <w:style w:type="paragraph" w:styleId="Caption">
    <w:name w:val="caption"/>
    <w:basedOn w:val="Normal"/>
    <w:next w:val="Normal"/>
    <w:uiPriority w:val="35"/>
    <w:unhideWhenUsed/>
    <w:qFormat/>
    <w:rsid w:val="0015192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511">
      <w:bodyDiv w:val="1"/>
      <w:marLeft w:val="0"/>
      <w:marRight w:val="0"/>
      <w:marTop w:val="0"/>
      <w:marBottom w:val="0"/>
      <w:divBdr>
        <w:top w:val="none" w:sz="0" w:space="0" w:color="auto"/>
        <w:left w:val="none" w:sz="0" w:space="0" w:color="auto"/>
        <w:bottom w:val="none" w:sz="0" w:space="0" w:color="auto"/>
        <w:right w:val="none" w:sz="0" w:space="0" w:color="auto"/>
      </w:divBdr>
      <w:divsChild>
        <w:div w:id="1167744587">
          <w:marLeft w:val="0"/>
          <w:marRight w:val="0"/>
          <w:marTop w:val="0"/>
          <w:marBottom w:val="0"/>
          <w:divBdr>
            <w:top w:val="none" w:sz="0" w:space="0" w:color="auto"/>
            <w:left w:val="none" w:sz="0" w:space="0" w:color="auto"/>
            <w:bottom w:val="none" w:sz="0" w:space="0" w:color="auto"/>
            <w:right w:val="none" w:sz="0" w:space="0" w:color="auto"/>
          </w:divBdr>
          <w:divsChild>
            <w:div w:id="333993228">
              <w:marLeft w:val="0"/>
              <w:marRight w:val="0"/>
              <w:marTop w:val="0"/>
              <w:marBottom w:val="0"/>
              <w:divBdr>
                <w:top w:val="none" w:sz="0" w:space="0" w:color="auto"/>
                <w:left w:val="none" w:sz="0" w:space="0" w:color="auto"/>
                <w:bottom w:val="none" w:sz="0" w:space="0" w:color="auto"/>
                <w:right w:val="none" w:sz="0" w:space="0" w:color="auto"/>
              </w:divBdr>
              <w:divsChild>
                <w:div w:id="1277253972">
                  <w:marLeft w:val="0"/>
                  <w:marRight w:val="0"/>
                  <w:marTop w:val="0"/>
                  <w:marBottom w:val="0"/>
                  <w:divBdr>
                    <w:top w:val="none" w:sz="0" w:space="0" w:color="auto"/>
                    <w:left w:val="none" w:sz="0" w:space="0" w:color="auto"/>
                    <w:bottom w:val="none" w:sz="0" w:space="0" w:color="auto"/>
                    <w:right w:val="none" w:sz="0" w:space="0" w:color="auto"/>
                  </w:divBdr>
                  <w:divsChild>
                    <w:div w:id="17487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8">
          <w:marLeft w:val="0"/>
          <w:marRight w:val="0"/>
          <w:marTop w:val="0"/>
          <w:marBottom w:val="0"/>
          <w:divBdr>
            <w:top w:val="none" w:sz="0" w:space="0" w:color="auto"/>
            <w:left w:val="none" w:sz="0" w:space="0" w:color="auto"/>
            <w:bottom w:val="none" w:sz="0" w:space="0" w:color="auto"/>
            <w:right w:val="none" w:sz="0" w:space="0" w:color="auto"/>
          </w:divBdr>
          <w:divsChild>
            <w:div w:id="1783843701">
              <w:marLeft w:val="0"/>
              <w:marRight w:val="0"/>
              <w:marTop w:val="0"/>
              <w:marBottom w:val="0"/>
              <w:divBdr>
                <w:top w:val="none" w:sz="0" w:space="0" w:color="auto"/>
                <w:left w:val="none" w:sz="0" w:space="0" w:color="auto"/>
                <w:bottom w:val="none" w:sz="0" w:space="0" w:color="auto"/>
                <w:right w:val="none" w:sz="0" w:space="0" w:color="auto"/>
              </w:divBdr>
              <w:divsChild>
                <w:div w:id="884760926">
                  <w:marLeft w:val="0"/>
                  <w:marRight w:val="0"/>
                  <w:marTop w:val="0"/>
                  <w:marBottom w:val="0"/>
                  <w:divBdr>
                    <w:top w:val="none" w:sz="0" w:space="0" w:color="auto"/>
                    <w:left w:val="none" w:sz="0" w:space="0" w:color="auto"/>
                    <w:bottom w:val="none" w:sz="0" w:space="0" w:color="auto"/>
                    <w:right w:val="none" w:sz="0" w:space="0" w:color="auto"/>
                  </w:divBdr>
                  <w:divsChild>
                    <w:div w:id="407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2047">
      <w:bodyDiv w:val="1"/>
      <w:marLeft w:val="0"/>
      <w:marRight w:val="0"/>
      <w:marTop w:val="0"/>
      <w:marBottom w:val="0"/>
      <w:divBdr>
        <w:top w:val="none" w:sz="0" w:space="0" w:color="auto"/>
        <w:left w:val="none" w:sz="0" w:space="0" w:color="auto"/>
        <w:bottom w:val="none" w:sz="0" w:space="0" w:color="auto"/>
        <w:right w:val="none" w:sz="0" w:space="0" w:color="auto"/>
      </w:divBdr>
      <w:divsChild>
        <w:div w:id="1958638060">
          <w:marLeft w:val="0"/>
          <w:marRight w:val="0"/>
          <w:marTop w:val="0"/>
          <w:marBottom w:val="0"/>
          <w:divBdr>
            <w:top w:val="none" w:sz="0" w:space="0" w:color="auto"/>
            <w:left w:val="none" w:sz="0" w:space="0" w:color="auto"/>
            <w:bottom w:val="none" w:sz="0" w:space="0" w:color="auto"/>
            <w:right w:val="none" w:sz="0" w:space="0" w:color="auto"/>
          </w:divBdr>
          <w:divsChild>
            <w:div w:id="1793402689">
              <w:marLeft w:val="0"/>
              <w:marRight w:val="0"/>
              <w:marTop w:val="0"/>
              <w:marBottom w:val="0"/>
              <w:divBdr>
                <w:top w:val="none" w:sz="0" w:space="0" w:color="auto"/>
                <w:left w:val="none" w:sz="0" w:space="0" w:color="auto"/>
                <w:bottom w:val="none" w:sz="0" w:space="0" w:color="auto"/>
                <w:right w:val="none" w:sz="0" w:space="0" w:color="auto"/>
              </w:divBdr>
              <w:divsChild>
                <w:div w:id="1851141760">
                  <w:marLeft w:val="0"/>
                  <w:marRight w:val="0"/>
                  <w:marTop w:val="0"/>
                  <w:marBottom w:val="0"/>
                  <w:divBdr>
                    <w:top w:val="none" w:sz="0" w:space="0" w:color="auto"/>
                    <w:left w:val="none" w:sz="0" w:space="0" w:color="auto"/>
                    <w:bottom w:val="none" w:sz="0" w:space="0" w:color="auto"/>
                    <w:right w:val="none" w:sz="0" w:space="0" w:color="auto"/>
                  </w:divBdr>
                  <w:divsChild>
                    <w:div w:id="3124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940">
      <w:bodyDiv w:val="1"/>
      <w:marLeft w:val="0"/>
      <w:marRight w:val="0"/>
      <w:marTop w:val="0"/>
      <w:marBottom w:val="0"/>
      <w:divBdr>
        <w:top w:val="none" w:sz="0" w:space="0" w:color="auto"/>
        <w:left w:val="none" w:sz="0" w:space="0" w:color="auto"/>
        <w:bottom w:val="none" w:sz="0" w:space="0" w:color="auto"/>
        <w:right w:val="none" w:sz="0" w:space="0" w:color="auto"/>
      </w:divBdr>
      <w:divsChild>
        <w:div w:id="2015917606">
          <w:marLeft w:val="0"/>
          <w:marRight w:val="0"/>
          <w:marTop w:val="0"/>
          <w:marBottom w:val="0"/>
          <w:divBdr>
            <w:top w:val="none" w:sz="0" w:space="0" w:color="auto"/>
            <w:left w:val="none" w:sz="0" w:space="0" w:color="auto"/>
            <w:bottom w:val="none" w:sz="0" w:space="0" w:color="auto"/>
            <w:right w:val="none" w:sz="0" w:space="0" w:color="auto"/>
          </w:divBdr>
          <w:divsChild>
            <w:div w:id="1156072394">
              <w:marLeft w:val="0"/>
              <w:marRight w:val="0"/>
              <w:marTop w:val="0"/>
              <w:marBottom w:val="0"/>
              <w:divBdr>
                <w:top w:val="none" w:sz="0" w:space="0" w:color="auto"/>
                <w:left w:val="none" w:sz="0" w:space="0" w:color="auto"/>
                <w:bottom w:val="none" w:sz="0" w:space="0" w:color="auto"/>
                <w:right w:val="none" w:sz="0" w:space="0" w:color="auto"/>
              </w:divBdr>
              <w:divsChild>
                <w:div w:id="367075268">
                  <w:marLeft w:val="0"/>
                  <w:marRight w:val="0"/>
                  <w:marTop w:val="0"/>
                  <w:marBottom w:val="0"/>
                  <w:divBdr>
                    <w:top w:val="none" w:sz="0" w:space="0" w:color="auto"/>
                    <w:left w:val="none" w:sz="0" w:space="0" w:color="auto"/>
                    <w:bottom w:val="none" w:sz="0" w:space="0" w:color="auto"/>
                    <w:right w:val="none" w:sz="0" w:space="0" w:color="auto"/>
                  </w:divBdr>
                </w:div>
              </w:divsChild>
            </w:div>
            <w:div w:id="19742713">
              <w:marLeft w:val="0"/>
              <w:marRight w:val="0"/>
              <w:marTop w:val="0"/>
              <w:marBottom w:val="0"/>
              <w:divBdr>
                <w:top w:val="none" w:sz="0" w:space="0" w:color="auto"/>
                <w:left w:val="none" w:sz="0" w:space="0" w:color="auto"/>
                <w:bottom w:val="none" w:sz="0" w:space="0" w:color="auto"/>
                <w:right w:val="none" w:sz="0" w:space="0" w:color="auto"/>
              </w:divBdr>
              <w:divsChild>
                <w:div w:id="983385903">
                  <w:marLeft w:val="0"/>
                  <w:marRight w:val="0"/>
                  <w:marTop w:val="0"/>
                  <w:marBottom w:val="0"/>
                  <w:divBdr>
                    <w:top w:val="none" w:sz="0" w:space="0" w:color="auto"/>
                    <w:left w:val="none" w:sz="0" w:space="0" w:color="auto"/>
                    <w:bottom w:val="none" w:sz="0" w:space="0" w:color="auto"/>
                    <w:right w:val="none" w:sz="0" w:space="0" w:color="auto"/>
                  </w:divBdr>
                </w:div>
              </w:divsChild>
            </w:div>
            <w:div w:id="704595005">
              <w:marLeft w:val="0"/>
              <w:marRight w:val="0"/>
              <w:marTop w:val="0"/>
              <w:marBottom w:val="0"/>
              <w:divBdr>
                <w:top w:val="none" w:sz="0" w:space="0" w:color="auto"/>
                <w:left w:val="none" w:sz="0" w:space="0" w:color="auto"/>
                <w:bottom w:val="none" w:sz="0" w:space="0" w:color="auto"/>
                <w:right w:val="none" w:sz="0" w:space="0" w:color="auto"/>
              </w:divBdr>
              <w:divsChild>
                <w:div w:id="16017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189">
          <w:marLeft w:val="0"/>
          <w:marRight w:val="0"/>
          <w:marTop w:val="0"/>
          <w:marBottom w:val="0"/>
          <w:divBdr>
            <w:top w:val="none" w:sz="0" w:space="0" w:color="auto"/>
            <w:left w:val="none" w:sz="0" w:space="0" w:color="auto"/>
            <w:bottom w:val="none" w:sz="0" w:space="0" w:color="auto"/>
            <w:right w:val="none" w:sz="0" w:space="0" w:color="auto"/>
          </w:divBdr>
          <w:divsChild>
            <w:div w:id="158082112">
              <w:marLeft w:val="0"/>
              <w:marRight w:val="0"/>
              <w:marTop w:val="0"/>
              <w:marBottom w:val="0"/>
              <w:divBdr>
                <w:top w:val="none" w:sz="0" w:space="0" w:color="auto"/>
                <w:left w:val="none" w:sz="0" w:space="0" w:color="auto"/>
                <w:bottom w:val="none" w:sz="0" w:space="0" w:color="auto"/>
                <w:right w:val="none" w:sz="0" w:space="0" w:color="auto"/>
              </w:divBdr>
              <w:divsChild>
                <w:div w:id="1768112406">
                  <w:marLeft w:val="0"/>
                  <w:marRight w:val="0"/>
                  <w:marTop w:val="0"/>
                  <w:marBottom w:val="0"/>
                  <w:divBdr>
                    <w:top w:val="none" w:sz="0" w:space="0" w:color="auto"/>
                    <w:left w:val="none" w:sz="0" w:space="0" w:color="auto"/>
                    <w:bottom w:val="none" w:sz="0" w:space="0" w:color="auto"/>
                    <w:right w:val="none" w:sz="0" w:space="0" w:color="auto"/>
                  </w:divBdr>
                </w:div>
              </w:divsChild>
            </w:div>
            <w:div w:id="1890261821">
              <w:marLeft w:val="0"/>
              <w:marRight w:val="0"/>
              <w:marTop w:val="0"/>
              <w:marBottom w:val="0"/>
              <w:divBdr>
                <w:top w:val="none" w:sz="0" w:space="0" w:color="auto"/>
                <w:left w:val="none" w:sz="0" w:space="0" w:color="auto"/>
                <w:bottom w:val="none" w:sz="0" w:space="0" w:color="auto"/>
                <w:right w:val="none" w:sz="0" w:space="0" w:color="auto"/>
              </w:divBdr>
              <w:divsChild>
                <w:div w:id="9214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1117">
          <w:marLeft w:val="0"/>
          <w:marRight w:val="0"/>
          <w:marTop w:val="0"/>
          <w:marBottom w:val="0"/>
          <w:divBdr>
            <w:top w:val="none" w:sz="0" w:space="0" w:color="auto"/>
            <w:left w:val="none" w:sz="0" w:space="0" w:color="auto"/>
            <w:bottom w:val="none" w:sz="0" w:space="0" w:color="auto"/>
            <w:right w:val="none" w:sz="0" w:space="0" w:color="auto"/>
          </w:divBdr>
          <w:divsChild>
            <w:div w:id="195511595">
              <w:marLeft w:val="0"/>
              <w:marRight w:val="0"/>
              <w:marTop w:val="0"/>
              <w:marBottom w:val="0"/>
              <w:divBdr>
                <w:top w:val="none" w:sz="0" w:space="0" w:color="auto"/>
                <w:left w:val="none" w:sz="0" w:space="0" w:color="auto"/>
                <w:bottom w:val="none" w:sz="0" w:space="0" w:color="auto"/>
                <w:right w:val="none" w:sz="0" w:space="0" w:color="auto"/>
              </w:divBdr>
              <w:divsChild>
                <w:div w:id="1479301663">
                  <w:marLeft w:val="0"/>
                  <w:marRight w:val="0"/>
                  <w:marTop w:val="0"/>
                  <w:marBottom w:val="0"/>
                  <w:divBdr>
                    <w:top w:val="none" w:sz="0" w:space="0" w:color="auto"/>
                    <w:left w:val="none" w:sz="0" w:space="0" w:color="auto"/>
                    <w:bottom w:val="none" w:sz="0" w:space="0" w:color="auto"/>
                    <w:right w:val="none" w:sz="0" w:space="0" w:color="auto"/>
                  </w:divBdr>
                </w:div>
              </w:divsChild>
            </w:div>
            <w:div w:id="275648377">
              <w:marLeft w:val="0"/>
              <w:marRight w:val="0"/>
              <w:marTop w:val="0"/>
              <w:marBottom w:val="0"/>
              <w:divBdr>
                <w:top w:val="none" w:sz="0" w:space="0" w:color="auto"/>
                <w:left w:val="none" w:sz="0" w:space="0" w:color="auto"/>
                <w:bottom w:val="none" w:sz="0" w:space="0" w:color="auto"/>
                <w:right w:val="none" w:sz="0" w:space="0" w:color="auto"/>
              </w:divBdr>
              <w:divsChild>
                <w:div w:id="620957263">
                  <w:marLeft w:val="0"/>
                  <w:marRight w:val="0"/>
                  <w:marTop w:val="0"/>
                  <w:marBottom w:val="0"/>
                  <w:divBdr>
                    <w:top w:val="none" w:sz="0" w:space="0" w:color="auto"/>
                    <w:left w:val="none" w:sz="0" w:space="0" w:color="auto"/>
                    <w:bottom w:val="none" w:sz="0" w:space="0" w:color="auto"/>
                    <w:right w:val="none" w:sz="0" w:space="0" w:color="auto"/>
                  </w:divBdr>
                </w:div>
                <w:div w:id="1817524138">
                  <w:marLeft w:val="0"/>
                  <w:marRight w:val="0"/>
                  <w:marTop w:val="0"/>
                  <w:marBottom w:val="0"/>
                  <w:divBdr>
                    <w:top w:val="none" w:sz="0" w:space="0" w:color="auto"/>
                    <w:left w:val="none" w:sz="0" w:space="0" w:color="auto"/>
                    <w:bottom w:val="none" w:sz="0" w:space="0" w:color="auto"/>
                    <w:right w:val="none" w:sz="0" w:space="0" w:color="auto"/>
                  </w:divBdr>
                </w:div>
              </w:divsChild>
            </w:div>
            <w:div w:id="1979147091">
              <w:marLeft w:val="0"/>
              <w:marRight w:val="0"/>
              <w:marTop w:val="0"/>
              <w:marBottom w:val="0"/>
              <w:divBdr>
                <w:top w:val="none" w:sz="0" w:space="0" w:color="auto"/>
                <w:left w:val="none" w:sz="0" w:space="0" w:color="auto"/>
                <w:bottom w:val="none" w:sz="0" w:space="0" w:color="auto"/>
                <w:right w:val="none" w:sz="0" w:space="0" w:color="auto"/>
              </w:divBdr>
              <w:divsChild>
                <w:div w:id="393086102">
                  <w:marLeft w:val="0"/>
                  <w:marRight w:val="0"/>
                  <w:marTop w:val="0"/>
                  <w:marBottom w:val="0"/>
                  <w:divBdr>
                    <w:top w:val="none" w:sz="0" w:space="0" w:color="auto"/>
                    <w:left w:val="none" w:sz="0" w:space="0" w:color="auto"/>
                    <w:bottom w:val="none" w:sz="0" w:space="0" w:color="auto"/>
                    <w:right w:val="none" w:sz="0" w:space="0" w:color="auto"/>
                  </w:divBdr>
                </w:div>
              </w:divsChild>
            </w:div>
            <w:div w:id="672882903">
              <w:marLeft w:val="0"/>
              <w:marRight w:val="0"/>
              <w:marTop w:val="0"/>
              <w:marBottom w:val="0"/>
              <w:divBdr>
                <w:top w:val="none" w:sz="0" w:space="0" w:color="auto"/>
                <w:left w:val="none" w:sz="0" w:space="0" w:color="auto"/>
                <w:bottom w:val="none" w:sz="0" w:space="0" w:color="auto"/>
                <w:right w:val="none" w:sz="0" w:space="0" w:color="auto"/>
              </w:divBdr>
              <w:divsChild>
                <w:div w:id="527649101">
                  <w:marLeft w:val="0"/>
                  <w:marRight w:val="0"/>
                  <w:marTop w:val="0"/>
                  <w:marBottom w:val="0"/>
                  <w:divBdr>
                    <w:top w:val="none" w:sz="0" w:space="0" w:color="auto"/>
                    <w:left w:val="none" w:sz="0" w:space="0" w:color="auto"/>
                    <w:bottom w:val="none" w:sz="0" w:space="0" w:color="auto"/>
                    <w:right w:val="none" w:sz="0" w:space="0" w:color="auto"/>
                  </w:divBdr>
                </w:div>
              </w:divsChild>
            </w:div>
            <w:div w:id="1706833635">
              <w:marLeft w:val="0"/>
              <w:marRight w:val="0"/>
              <w:marTop w:val="0"/>
              <w:marBottom w:val="0"/>
              <w:divBdr>
                <w:top w:val="none" w:sz="0" w:space="0" w:color="auto"/>
                <w:left w:val="none" w:sz="0" w:space="0" w:color="auto"/>
                <w:bottom w:val="none" w:sz="0" w:space="0" w:color="auto"/>
                <w:right w:val="none" w:sz="0" w:space="0" w:color="auto"/>
              </w:divBdr>
              <w:divsChild>
                <w:div w:id="194925259">
                  <w:marLeft w:val="0"/>
                  <w:marRight w:val="0"/>
                  <w:marTop w:val="0"/>
                  <w:marBottom w:val="0"/>
                  <w:divBdr>
                    <w:top w:val="none" w:sz="0" w:space="0" w:color="auto"/>
                    <w:left w:val="none" w:sz="0" w:space="0" w:color="auto"/>
                    <w:bottom w:val="none" w:sz="0" w:space="0" w:color="auto"/>
                    <w:right w:val="none" w:sz="0" w:space="0" w:color="auto"/>
                  </w:divBdr>
                </w:div>
              </w:divsChild>
            </w:div>
            <w:div w:id="1002705561">
              <w:marLeft w:val="0"/>
              <w:marRight w:val="0"/>
              <w:marTop w:val="0"/>
              <w:marBottom w:val="0"/>
              <w:divBdr>
                <w:top w:val="none" w:sz="0" w:space="0" w:color="auto"/>
                <w:left w:val="none" w:sz="0" w:space="0" w:color="auto"/>
                <w:bottom w:val="none" w:sz="0" w:space="0" w:color="auto"/>
                <w:right w:val="none" w:sz="0" w:space="0" w:color="auto"/>
              </w:divBdr>
              <w:divsChild>
                <w:div w:id="1250383976">
                  <w:marLeft w:val="0"/>
                  <w:marRight w:val="0"/>
                  <w:marTop w:val="0"/>
                  <w:marBottom w:val="0"/>
                  <w:divBdr>
                    <w:top w:val="none" w:sz="0" w:space="0" w:color="auto"/>
                    <w:left w:val="none" w:sz="0" w:space="0" w:color="auto"/>
                    <w:bottom w:val="none" w:sz="0" w:space="0" w:color="auto"/>
                    <w:right w:val="none" w:sz="0" w:space="0" w:color="auto"/>
                  </w:divBdr>
                </w:div>
              </w:divsChild>
            </w:div>
            <w:div w:id="1939560750">
              <w:marLeft w:val="0"/>
              <w:marRight w:val="0"/>
              <w:marTop w:val="0"/>
              <w:marBottom w:val="0"/>
              <w:divBdr>
                <w:top w:val="none" w:sz="0" w:space="0" w:color="auto"/>
                <w:left w:val="none" w:sz="0" w:space="0" w:color="auto"/>
                <w:bottom w:val="none" w:sz="0" w:space="0" w:color="auto"/>
                <w:right w:val="none" w:sz="0" w:space="0" w:color="auto"/>
              </w:divBdr>
              <w:divsChild>
                <w:div w:id="792557699">
                  <w:marLeft w:val="0"/>
                  <w:marRight w:val="0"/>
                  <w:marTop w:val="0"/>
                  <w:marBottom w:val="0"/>
                  <w:divBdr>
                    <w:top w:val="none" w:sz="0" w:space="0" w:color="auto"/>
                    <w:left w:val="none" w:sz="0" w:space="0" w:color="auto"/>
                    <w:bottom w:val="none" w:sz="0" w:space="0" w:color="auto"/>
                    <w:right w:val="none" w:sz="0" w:space="0" w:color="auto"/>
                  </w:divBdr>
                </w:div>
              </w:divsChild>
            </w:div>
            <w:div w:id="122969853">
              <w:marLeft w:val="0"/>
              <w:marRight w:val="0"/>
              <w:marTop w:val="0"/>
              <w:marBottom w:val="0"/>
              <w:divBdr>
                <w:top w:val="none" w:sz="0" w:space="0" w:color="auto"/>
                <w:left w:val="none" w:sz="0" w:space="0" w:color="auto"/>
                <w:bottom w:val="none" w:sz="0" w:space="0" w:color="auto"/>
                <w:right w:val="none" w:sz="0" w:space="0" w:color="auto"/>
              </w:divBdr>
              <w:divsChild>
                <w:div w:id="1606495128">
                  <w:marLeft w:val="0"/>
                  <w:marRight w:val="0"/>
                  <w:marTop w:val="0"/>
                  <w:marBottom w:val="0"/>
                  <w:divBdr>
                    <w:top w:val="none" w:sz="0" w:space="0" w:color="auto"/>
                    <w:left w:val="none" w:sz="0" w:space="0" w:color="auto"/>
                    <w:bottom w:val="none" w:sz="0" w:space="0" w:color="auto"/>
                    <w:right w:val="none" w:sz="0" w:space="0" w:color="auto"/>
                  </w:divBdr>
                </w:div>
              </w:divsChild>
            </w:div>
            <w:div w:id="1660688926">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783259974">
              <w:marLeft w:val="0"/>
              <w:marRight w:val="0"/>
              <w:marTop w:val="0"/>
              <w:marBottom w:val="0"/>
              <w:divBdr>
                <w:top w:val="none" w:sz="0" w:space="0" w:color="auto"/>
                <w:left w:val="none" w:sz="0" w:space="0" w:color="auto"/>
                <w:bottom w:val="none" w:sz="0" w:space="0" w:color="auto"/>
                <w:right w:val="none" w:sz="0" w:space="0" w:color="auto"/>
              </w:divBdr>
              <w:divsChild>
                <w:div w:id="10472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8712">
          <w:marLeft w:val="0"/>
          <w:marRight w:val="0"/>
          <w:marTop w:val="0"/>
          <w:marBottom w:val="0"/>
          <w:divBdr>
            <w:top w:val="none" w:sz="0" w:space="0" w:color="auto"/>
            <w:left w:val="none" w:sz="0" w:space="0" w:color="auto"/>
            <w:bottom w:val="none" w:sz="0" w:space="0" w:color="auto"/>
            <w:right w:val="none" w:sz="0" w:space="0" w:color="auto"/>
          </w:divBdr>
          <w:divsChild>
            <w:div w:id="211696643">
              <w:marLeft w:val="0"/>
              <w:marRight w:val="0"/>
              <w:marTop w:val="0"/>
              <w:marBottom w:val="0"/>
              <w:divBdr>
                <w:top w:val="none" w:sz="0" w:space="0" w:color="auto"/>
                <w:left w:val="none" w:sz="0" w:space="0" w:color="auto"/>
                <w:bottom w:val="none" w:sz="0" w:space="0" w:color="auto"/>
                <w:right w:val="none" w:sz="0" w:space="0" w:color="auto"/>
              </w:divBdr>
              <w:divsChild>
                <w:div w:id="15317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0961">
      <w:bodyDiv w:val="1"/>
      <w:marLeft w:val="0"/>
      <w:marRight w:val="0"/>
      <w:marTop w:val="0"/>
      <w:marBottom w:val="0"/>
      <w:divBdr>
        <w:top w:val="none" w:sz="0" w:space="0" w:color="auto"/>
        <w:left w:val="none" w:sz="0" w:space="0" w:color="auto"/>
        <w:bottom w:val="none" w:sz="0" w:space="0" w:color="auto"/>
        <w:right w:val="none" w:sz="0" w:space="0" w:color="auto"/>
      </w:divBdr>
      <w:divsChild>
        <w:div w:id="794254930">
          <w:marLeft w:val="0"/>
          <w:marRight w:val="0"/>
          <w:marTop w:val="0"/>
          <w:marBottom w:val="0"/>
          <w:divBdr>
            <w:top w:val="none" w:sz="0" w:space="0" w:color="auto"/>
            <w:left w:val="none" w:sz="0" w:space="0" w:color="auto"/>
            <w:bottom w:val="none" w:sz="0" w:space="0" w:color="auto"/>
            <w:right w:val="none" w:sz="0" w:space="0" w:color="auto"/>
          </w:divBdr>
          <w:divsChild>
            <w:div w:id="1007371350">
              <w:marLeft w:val="0"/>
              <w:marRight w:val="0"/>
              <w:marTop w:val="0"/>
              <w:marBottom w:val="0"/>
              <w:divBdr>
                <w:top w:val="none" w:sz="0" w:space="0" w:color="auto"/>
                <w:left w:val="none" w:sz="0" w:space="0" w:color="auto"/>
                <w:bottom w:val="none" w:sz="0" w:space="0" w:color="auto"/>
                <w:right w:val="none" w:sz="0" w:space="0" w:color="auto"/>
              </w:divBdr>
              <w:divsChild>
                <w:div w:id="5609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047">
      <w:bodyDiv w:val="1"/>
      <w:marLeft w:val="0"/>
      <w:marRight w:val="0"/>
      <w:marTop w:val="0"/>
      <w:marBottom w:val="0"/>
      <w:divBdr>
        <w:top w:val="none" w:sz="0" w:space="0" w:color="auto"/>
        <w:left w:val="none" w:sz="0" w:space="0" w:color="auto"/>
        <w:bottom w:val="none" w:sz="0" w:space="0" w:color="auto"/>
        <w:right w:val="none" w:sz="0" w:space="0" w:color="auto"/>
      </w:divBdr>
      <w:divsChild>
        <w:div w:id="1367633264">
          <w:marLeft w:val="0"/>
          <w:marRight w:val="0"/>
          <w:marTop w:val="0"/>
          <w:marBottom w:val="0"/>
          <w:divBdr>
            <w:top w:val="none" w:sz="0" w:space="0" w:color="auto"/>
            <w:left w:val="none" w:sz="0" w:space="0" w:color="auto"/>
            <w:bottom w:val="none" w:sz="0" w:space="0" w:color="auto"/>
            <w:right w:val="none" w:sz="0" w:space="0" w:color="auto"/>
          </w:divBdr>
          <w:divsChild>
            <w:div w:id="860708436">
              <w:marLeft w:val="0"/>
              <w:marRight w:val="0"/>
              <w:marTop w:val="0"/>
              <w:marBottom w:val="0"/>
              <w:divBdr>
                <w:top w:val="none" w:sz="0" w:space="0" w:color="auto"/>
                <w:left w:val="none" w:sz="0" w:space="0" w:color="auto"/>
                <w:bottom w:val="none" w:sz="0" w:space="0" w:color="auto"/>
                <w:right w:val="none" w:sz="0" w:space="0" w:color="auto"/>
              </w:divBdr>
              <w:divsChild>
                <w:div w:id="13066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713">
      <w:bodyDiv w:val="1"/>
      <w:marLeft w:val="0"/>
      <w:marRight w:val="0"/>
      <w:marTop w:val="0"/>
      <w:marBottom w:val="0"/>
      <w:divBdr>
        <w:top w:val="none" w:sz="0" w:space="0" w:color="auto"/>
        <w:left w:val="none" w:sz="0" w:space="0" w:color="auto"/>
        <w:bottom w:val="none" w:sz="0" w:space="0" w:color="auto"/>
        <w:right w:val="none" w:sz="0" w:space="0" w:color="auto"/>
      </w:divBdr>
      <w:divsChild>
        <w:div w:id="1803766206">
          <w:marLeft w:val="0"/>
          <w:marRight w:val="0"/>
          <w:marTop w:val="0"/>
          <w:marBottom w:val="0"/>
          <w:divBdr>
            <w:top w:val="none" w:sz="0" w:space="0" w:color="auto"/>
            <w:left w:val="none" w:sz="0" w:space="0" w:color="auto"/>
            <w:bottom w:val="none" w:sz="0" w:space="0" w:color="auto"/>
            <w:right w:val="none" w:sz="0" w:space="0" w:color="auto"/>
          </w:divBdr>
          <w:divsChild>
            <w:div w:id="759524659">
              <w:marLeft w:val="0"/>
              <w:marRight w:val="0"/>
              <w:marTop w:val="0"/>
              <w:marBottom w:val="0"/>
              <w:divBdr>
                <w:top w:val="none" w:sz="0" w:space="0" w:color="auto"/>
                <w:left w:val="none" w:sz="0" w:space="0" w:color="auto"/>
                <w:bottom w:val="none" w:sz="0" w:space="0" w:color="auto"/>
                <w:right w:val="none" w:sz="0" w:space="0" w:color="auto"/>
              </w:divBdr>
              <w:divsChild>
                <w:div w:id="179508153">
                  <w:marLeft w:val="0"/>
                  <w:marRight w:val="0"/>
                  <w:marTop w:val="0"/>
                  <w:marBottom w:val="0"/>
                  <w:divBdr>
                    <w:top w:val="none" w:sz="0" w:space="0" w:color="auto"/>
                    <w:left w:val="none" w:sz="0" w:space="0" w:color="auto"/>
                    <w:bottom w:val="none" w:sz="0" w:space="0" w:color="auto"/>
                    <w:right w:val="none" w:sz="0" w:space="0" w:color="auto"/>
                  </w:divBdr>
                  <w:divsChild>
                    <w:div w:id="12422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8758">
      <w:bodyDiv w:val="1"/>
      <w:marLeft w:val="0"/>
      <w:marRight w:val="0"/>
      <w:marTop w:val="0"/>
      <w:marBottom w:val="0"/>
      <w:divBdr>
        <w:top w:val="none" w:sz="0" w:space="0" w:color="auto"/>
        <w:left w:val="none" w:sz="0" w:space="0" w:color="auto"/>
        <w:bottom w:val="none" w:sz="0" w:space="0" w:color="auto"/>
        <w:right w:val="none" w:sz="0" w:space="0" w:color="auto"/>
      </w:divBdr>
      <w:divsChild>
        <w:div w:id="144979372">
          <w:marLeft w:val="0"/>
          <w:marRight w:val="0"/>
          <w:marTop w:val="0"/>
          <w:marBottom w:val="0"/>
          <w:divBdr>
            <w:top w:val="none" w:sz="0" w:space="0" w:color="auto"/>
            <w:left w:val="none" w:sz="0" w:space="0" w:color="auto"/>
            <w:bottom w:val="none" w:sz="0" w:space="0" w:color="auto"/>
            <w:right w:val="none" w:sz="0" w:space="0" w:color="auto"/>
          </w:divBdr>
          <w:divsChild>
            <w:div w:id="2103062168">
              <w:marLeft w:val="0"/>
              <w:marRight w:val="0"/>
              <w:marTop w:val="0"/>
              <w:marBottom w:val="0"/>
              <w:divBdr>
                <w:top w:val="none" w:sz="0" w:space="0" w:color="auto"/>
                <w:left w:val="none" w:sz="0" w:space="0" w:color="auto"/>
                <w:bottom w:val="none" w:sz="0" w:space="0" w:color="auto"/>
                <w:right w:val="none" w:sz="0" w:space="0" w:color="auto"/>
              </w:divBdr>
              <w:divsChild>
                <w:div w:id="1175072538">
                  <w:marLeft w:val="0"/>
                  <w:marRight w:val="0"/>
                  <w:marTop w:val="0"/>
                  <w:marBottom w:val="0"/>
                  <w:divBdr>
                    <w:top w:val="none" w:sz="0" w:space="0" w:color="auto"/>
                    <w:left w:val="none" w:sz="0" w:space="0" w:color="auto"/>
                    <w:bottom w:val="none" w:sz="0" w:space="0" w:color="auto"/>
                    <w:right w:val="none" w:sz="0" w:space="0" w:color="auto"/>
                  </w:divBdr>
                  <w:divsChild>
                    <w:div w:id="832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9357">
      <w:bodyDiv w:val="1"/>
      <w:marLeft w:val="0"/>
      <w:marRight w:val="0"/>
      <w:marTop w:val="0"/>
      <w:marBottom w:val="0"/>
      <w:divBdr>
        <w:top w:val="none" w:sz="0" w:space="0" w:color="auto"/>
        <w:left w:val="none" w:sz="0" w:space="0" w:color="auto"/>
        <w:bottom w:val="none" w:sz="0" w:space="0" w:color="auto"/>
        <w:right w:val="none" w:sz="0" w:space="0" w:color="auto"/>
      </w:divBdr>
      <w:divsChild>
        <w:div w:id="118228746">
          <w:marLeft w:val="0"/>
          <w:marRight w:val="0"/>
          <w:marTop w:val="0"/>
          <w:marBottom w:val="0"/>
          <w:divBdr>
            <w:top w:val="none" w:sz="0" w:space="0" w:color="auto"/>
            <w:left w:val="none" w:sz="0" w:space="0" w:color="auto"/>
            <w:bottom w:val="none" w:sz="0" w:space="0" w:color="auto"/>
            <w:right w:val="none" w:sz="0" w:space="0" w:color="auto"/>
          </w:divBdr>
          <w:divsChild>
            <w:div w:id="365176851">
              <w:marLeft w:val="0"/>
              <w:marRight w:val="0"/>
              <w:marTop w:val="0"/>
              <w:marBottom w:val="0"/>
              <w:divBdr>
                <w:top w:val="none" w:sz="0" w:space="0" w:color="auto"/>
                <w:left w:val="none" w:sz="0" w:space="0" w:color="auto"/>
                <w:bottom w:val="none" w:sz="0" w:space="0" w:color="auto"/>
                <w:right w:val="none" w:sz="0" w:space="0" w:color="auto"/>
              </w:divBdr>
              <w:divsChild>
                <w:div w:id="27919981">
                  <w:marLeft w:val="0"/>
                  <w:marRight w:val="0"/>
                  <w:marTop w:val="0"/>
                  <w:marBottom w:val="0"/>
                  <w:divBdr>
                    <w:top w:val="none" w:sz="0" w:space="0" w:color="auto"/>
                    <w:left w:val="none" w:sz="0" w:space="0" w:color="auto"/>
                    <w:bottom w:val="none" w:sz="0" w:space="0" w:color="auto"/>
                    <w:right w:val="none" w:sz="0" w:space="0" w:color="auto"/>
                  </w:divBdr>
                  <w:divsChild>
                    <w:div w:id="8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91065">
      <w:bodyDiv w:val="1"/>
      <w:marLeft w:val="0"/>
      <w:marRight w:val="0"/>
      <w:marTop w:val="0"/>
      <w:marBottom w:val="0"/>
      <w:divBdr>
        <w:top w:val="none" w:sz="0" w:space="0" w:color="auto"/>
        <w:left w:val="none" w:sz="0" w:space="0" w:color="auto"/>
        <w:bottom w:val="none" w:sz="0" w:space="0" w:color="auto"/>
        <w:right w:val="none" w:sz="0" w:space="0" w:color="auto"/>
      </w:divBdr>
      <w:divsChild>
        <w:div w:id="1205093889">
          <w:marLeft w:val="0"/>
          <w:marRight w:val="0"/>
          <w:marTop w:val="0"/>
          <w:marBottom w:val="0"/>
          <w:divBdr>
            <w:top w:val="none" w:sz="0" w:space="0" w:color="auto"/>
            <w:left w:val="none" w:sz="0" w:space="0" w:color="auto"/>
            <w:bottom w:val="none" w:sz="0" w:space="0" w:color="auto"/>
            <w:right w:val="none" w:sz="0" w:space="0" w:color="auto"/>
          </w:divBdr>
          <w:divsChild>
            <w:div w:id="1535729709">
              <w:marLeft w:val="0"/>
              <w:marRight w:val="0"/>
              <w:marTop w:val="0"/>
              <w:marBottom w:val="0"/>
              <w:divBdr>
                <w:top w:val="none" w:sz="0" w:space="0" w:color="auto"/>
                <w:left w:val="none" w:sz="0" w:space="0" w:color="auto"/>
                <w:bottom w:val="none" w:sz="0" w:space="0" w:color="auto"/>
                <w:right w:val="none" w:sz="0" w:space="0" w:color="auto"/>
              </w:divBdr>
              <w:divsChild>
                <w:div w:id="708645945">
                  <w:marLeft w:val="0"/>
                  <w:marRight w:val="0"/>
                  <w:marTop w:val="0"/>
                  <w:marBottom w:val="0"/>
                  <w:divBdr>
                    <w:top w:val="none" w:sz="0" w:space="0" w:color="auto"/>
                    <w:left w:val="none" w:sz="0" w:space="0" w:color="auto"/>
                    <w:bottom w:val="none" w:sz="0" w:space="0" w:color="auto"/>
                    <w:right w:val="none" w:sz="0" w:space="0" w:color="auto"/>
                  </w:divBdr>
                  <w:divsChild>
                    <w:div w:id="12273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2291">
      <w:bodyDiv w:val="1"/>
      <w:marLeft w:val="0"/>
      <w:marRight w:val="0"/>
      <w:marTop w:val="0"/>
      <w:marBottom w:val="0"/>
      <w:divBdr>
        <w:top w:val="none" w:sz="0" w:space="0" w:color="auto"/>
        <w:left w:val="none" w:sz="0" w:space="0" w:color="auto"/>
        <w:bottom w:val="none" w:sz="0" w:space="0" w:color="auto"/>
        <w:right w:val="none" w:sz="0" w:space="0" w:color="auto"/>
      </w:divBdr>
      <w:divsChild>
        <w:div w:id="1284386233">
          <w:marLeft w:val="0"/>
          <w:marRight w:val="0"/>
          <w:marTop w:val="0"/>
          <w:marBottom w:val="0"/>
          <w:divBdr>
            <w:top w:val="none" w:sz="0" w:space="0" w:color="auto"/>
            <w:left w:val="none" w:sz="0" w:space="0" w:color="auto"/>
            <w:bottom w:val="none" w:sz="0" w:space="0" w:color="auto"/>
            <w:right w:val="none" w:sz="0" w:space="0" w:color="auto"/>
          </w:divBdr>
          <w:divsChild>
            <w:div w:id="1030567371">
              <w:marLeft w:val="0"/>
              <w:marRight w:val="0"/>
              <w:marTop w:val="0"/>
              <w:marBottom w:val="0"/>
              <w:divBdr>
                <w:top w:val="none" w:sz="0" w:space="0" w:color="auto"/>
                <w:left w:val="none" w:sz="0" w:space="0" w:color="auto"/>
                <w:bottom w:val="none" w:sz="0" w:space="0" w:color="auto"/>
                <w:right w:val="none" w:sz="0" w:space="0" w:color="auto"/>
              </w:divBdr>
              <w:divsChild>
                <w:div w:id="18871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331">
      <w:bodyDiv w:val="1"/>
      <w:marLeft w:val="0"/>
      <w:marRight w:val="0"/>
      <w:marTop w:val="0"/>
      <w:marBottom w:val="0"/>
      <w:divBdr>
        <w:top w:val="none" w:sz="0" w:space="0" w:color="auto"/>
        <w:left w:val="none" w:sz="0" w:space="0" w:color="auto"/>
        <w:bottom w:val="none" w:sz="0" w:space="0" w:color="auto"/>
        <w:right w:val="none" w:sz="0" w:space="0" w:color="auto"/>
      </w:divBdr>
      <w:divsChild>
        <w:div w:id="307126223">
          <w:marLeft w:val="0"/>
          <w:marRight w:val="0"/>
          <w:marTop w:val="0"/>
          <w:marBottom w:val="0"/>
          <w:divBdr>
            <w:top w:val="none" w:sz="0" w:space="0" w:color="auto"/>
            <w:left w:val="none" w:sz="0" w:space="0" w:color="auto"/>
            <w:bottom w:val="none" w:sz="0" w:space="0" w:color="auto"/>
            <w:right w:val="none" w:sz="0" w:space="0" w:color="auto"/>
          </w:divBdr>
          <w:divsChild>
            <w:div w:id="867370545">
              <w:marLeft w:val="0"/>
              <w:marRight w:val="0"/>
              <w:marTop w:val="0"/>
              <w:marBottom w:val="0"/>
              <w:divBdr>
                <w:top w:val="none" w:sz="0" w:space="0" w:color="auto"/>
                <w:left w:val="none" w:sz="0" w:space="0" w:color="auto"/>
                <w:bottom w:val="none" w:sz="0" w:space="0" w:color="auto"/>
                <w:right w:val="none" w:sz="0" w:space="0" w:color="auto"/>
              </w:divBdr>
              <w:divsChild>
                <w:div w:id="274530849">
                  <w:marLeft w:val="0"/>
                  <w:marRight w:val="0"/>
                  <w:marTop w:val="0"/>
                  <w:marBottom w:val="0"/>
                  <w:divBdr>
                    <w:top w:val="none" w:sz="0" w:space="0" w:color="auto"/>
                    <w:left w:val="none" w:sz="0" w:space="0" w:color="auto"/>
                    <w:bottom w:val="none" w:sz="0" w:space="0" w:color="auto"/>
                    <w:right w:val="none" w:sz="0" w:space="0" w:color="auto"/>
                  </w:divBdr>
                  <w:divsChild>
                    <w:div w:id="11889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410">
      <w:bodyDiv w:val="1"/>
      <w:marLeft w:val="0"/>
      <w:marRight w:val="0"/>
      <w:marTop w:val="0"/>
      <w:marBottom w:val="0"/>
      <w:divBdr>
        <w:top w:val="none" w:sz="0" w:space="0" w:color="auto"/>
        <w:left w:val="none" w:sz="0" w:space="0" w:color="auto"/>
        <w:bottom w:val="none" w:sz="0" w:space="0" w:color="auto"/>
        <w:right w:val="none" w:sz="0" w:space="0" w:color="auto"/>
      </w:divBdr>
      <w:divsChild>
        <w:div w:id="965087602">
          <w:marLeft w:val="0"/>
          <w:marRight w:val="0"/>
          <w:marTop w:val="0"/>
          <w:marBottom w:val="0"/>
          <w:divBdr>
            <w:top w:val="none" w:sz="0" w:space="0" w:color="auto"/>
            <w:left w:val="none" w:sz="0" w:space="0" w:color="auto"/>
            <w:bottom w:val="none" w:sz="0" w:space="0" w:color="auto"/>
            <w:right w:val="none" w:sz="0" w:space="0" w:color="auto"/>
          </w:divBdr>
          <w:divsChild>
            <w:div w:id="548996721">
              <w:marLeft w:val="0"/>
              <w:marRight w:val="0"/>
              <w:marTop w:val="0"/>
              <w:marBottom w:val="0"/>
              <w:divBdr>
                <w:top w:val="none" w:sz="0" w:space="0" w:color="auto"/>
                <w:left w:val="none" w:sz="0" w:space="0" w:color="auto"/>
                <w:bottom w:val="none" w:sz="0" w:space="0" w:color="auto"/>
                <w:right w:val="none" w:sz="0" w:space="0" w:color="auto"/>
              </w:divBdr>
              <w:divsChild>
                <w:div w:id="2098861202">
                  <w:marLeft w:val="0"/>
                  <w:marRight w:val="0"/>
                  <w:marTop w:val="0"/>
                  <w:marBottom w:val="0"/>
                  <w:divBdr>
                    <w:top w:val="none" w:sz="0" w:space="0" w:color="auto"/>
                    <w:left w:val="none" w:sz="0" w:space="0" w:color="auto"/>
                    <w:bottom w:val="none" w:sz="0" w:space="0" w:color="auto"/>
                    <w:right w:val="none" w:sz="0" w:space="0" w:color="auto"/>
                  </w:divBdr>
                  <w:divsChild>
                    <w:div w:id="1098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2500">
      <w:bodyDiv w:val="1"/>
      <w:marLeft w:val="0"/>
      <w:marRight w:val="0"/>
      <w:marTop w:val="0"/>
      <w:marBottom w:val="0"/>
      <w:divBdr>
        <w:top w:val="none" w:sz="0" w:space="0" w:color="auto"/>
        <w:left w:val="none" w:sz="0" w:space="0" w:color="auto"/>
        <w:bottom w:val="none" w:sz="0" w:space="0" w:color="auto"/>
        <w:right w:val="none" w:sz="0" w:space="0" w:color="auto"/>
      </w:divBdr>
      <w:divsChild>
        <w:div w:id="1019816221">
          <w:marLeft w:val="0"/>
          <w:marRight w:val="0"/>
          <w:marTop w:val="0"/>
          <w:marBottom w:val="0"/>
          <w:divBdr>
            <w:top w:val="none" w:sz="0" w:space="0" w:color="auto"/>
            <w:left w:val="none" w:sz="0" w:space="0" w:color="auto"/>
            <w:bottom w:val="none" w:sz="0" w:space="0" w:color="auto"/>
            <w:right w:val="none" w:sz="0" w:space="0" w:color="auto"/>
          </w:divBdr>
          <w:divsChild>
            <w:div w:id="352875913">
              <w:marLeft w:val="0"/>
              <w:marRight w:val="0"/>
              <w:marTop w:val="0"/>
              <w:marBottom w:val="0"/>
              <w:divBdr>
                <w:top w:val="none" w:sz="0" w:space="0" w:color="auto"/>
                <w:left w:val="none" w:sz="0" w:space="0" w:color="auto"/>
                <w:bottom w:val="none" w:sz="0" w:space="0" w:color="auto"/>
                <w:right w:val="none" w:sz="0" w:space="0" w:color="auto"/>
              </w:divBdr>
              <w:divsChild>
                <w:div w:id="198930564">
                  <w:marLeft w:val="0"/>
                  <w:marRight w:val="0"/>
                  <w:marTop w:val="0"/>
                  <w:marBottom w:val="0"/>
                  <w:divBdr>
                    <w:top w:val="none" w:sz="0" w:space="0" w:color="auto"/>
                    <w:left w:val="none" w:sz="0" w:space="0" w:color="auto"/>
                    <w:bottom w:val="none" w:sz="0" w:space="0" w:color="auto"/>
                    <w:right w:val="none" w:sz="0" w:space="0" w:color="auto"/>
                  </w:divBdr>
                  <w:divsChild>
                    <w:div w:id="21469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6565">
      <w:bodyDiv w:val="1"/>
      <w:marLeft w:val="0"/>
      <w:marRight w:val="0"/>
      <w:marTop w:val="0"/>
      <w:marBottom w:val="0"/>
      <w:divBdr>
        <w:top w:val="none" w:sz="0" w:space="0" w:color="auto"/>
        <w:left w:val="none" w:sz="0" w:space="0" w:color="auto"/>
        <w:bottom w:val="none" w:sz="0" w:space="0" w:color="auto"/>
        <w:right w:val="none" w:sz="0" w:space="0" w:color="auto"/>
      </w:divBdr>
      <w:divsChild>
        <w:div w:id="1227758819">
          <w:marLeft w:val="0"/>
          <w:marRight w:val="0"/>
          <w:marTop w:val="0"/>
          <w:marBottom w:val="0"/>
          <w:divBdr>
            <w:top w:val="none" w:sz="0" w:space="0" w:color="auto"/>
            <w:left w:val="none" w:sz="0" w:space="0" w:color="auto"/>
            <w:bottom w:val="none" w:sz="0" w:space="0" w:color="auto"/>
            <w:right w:val="none" w:sz="0" w:space="0" w:color="auto"/>
          </w:divBdr>
          <w:divsChild>
            <w:div w:id="813183065">
              <w:marLeft w:val="0"/>
              <w:marRight w:val="0"/>
              <w:marTop w:val="0"/>
              <w:marBottom w:val="0"/>
              <w:divBdr>
                <w:top w:val="none" w:sz="0" w:space="0" w:color="auto"/>
                <w:left w:val="none" w:sz="0" w:space="0" w:color="auto"/>
                <w:bottom w:val="none" w:sz="0" w:space="0" w:color="auto"/>
                <w:right w:val="none" w:sz="0" w:space="0" w:color="auto"/>
              </w:divBdr>
              <w:divsChild>
                <w:div w:id="971714071">
                  <w:marLeft w:val="0"/>
                  <w:marRight w:val="0"/>
                  <w:marTop w:val="0"/>
                  <w:marBottom w:val="0"/>
                  <w:divBdr>
                    <w:top w:val="none" w:sz="0" w:space="0" w:color="auto"/>
                    <w:left w:val="none" w:sz="0" w:space="0" w:color="auto"/>
                    <w:bottom w:val="none" w:sz="0" w:space="0" w:color="auto"/>
                    <w:right w:val="none" w:sz="0" w:space="0" w:color="auto"/>
                  </w:divBdr>
                </w:div>
              </w:divsChild>
            </w:div>
            <w:div w:id="384522758">
              <w:marLeft w:val="0"/>
              <w:marRight w:val="0"/>
              <w:marTop w:val="0"/>
              <w:marBottom w:val="0"/>
              <w:divBdr>
                <w:top w:val="none" w:sz="0" w:space="0" w:color="auto"/>
                <w:left w:val="none" w:sz="0" w:space="0" w:color="auto"/>
                <w:bottom w:val="none" w:sz="0" w:space="0" w:color="auto"/>
                <w:right w:val="none" w:sz="0" w:space="0" w:color="auto"/>
              </w:divBdr>
              <w:divsChild>
                <w:div w:id="17861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2204">
          <w:marLeft w:val="0"/>
          <w:marRight w:val="0"/>
          <w:marTop w:val="0"/>
          <w:marBottom w:val="0"/>
          <w:divBdr>
            <w:top w:val="none" w:sz="0" w:space="0" w:color="auto"/>
            <w:left w:val="none" w:sz="0" w:space="0" w:color="auto"/>
            <w:bottom w:val="none" w:sz="0" w:space="0" w:color="auto"/>
            <w:right w:val="none" w:sz="0" w:space="0" w:color="auto"/>
          </w:divBdr>
          <w:divsChild>
            <w:div w:id="1105811752">
              <w:marLeft w:val="0"/>
              <w:marRight w:val="0"/>
              <w:marTop w:val="0"/>
              <w:marBottom w:val="0"/>
              <w:divBdr>
                <w:top w:val="none" w:sz="0" w:space="0" w:color="auto"/>
                <w:left w:val="none" w:sz="0" w:space="0" w:color="auto"/>
                <w:bottom w:val="none" w:sz="0" w:space="0" w:color="auto"/>
                <w:right w:val="none" w:sz="0" w:space="0" w:color="auto"/>
              </w:divBdr>
              <w:divsChild>
                <w:div w:id="806632988">
                  <w:marLeft w:val="0"/>
                  <w:marRight w:val="0"/>
                  <w:marTop w:val="0"/>
                  <w:marBottom w:val="0"/>
                  <w:divBdr>
                    <w:top w:val="none" w:sz="0" w:space="0" w:color="auto"/>
                    <w:left w:val="none" w:sz="0" w:space="0" w:color="auto"/>
                    <w:bottom w:val="none" w:sz="0" w:space="0" w:color="auto"/>
                    <w:right w:val="none" w:sz="0" w:space="0" w:color="auto"/>
                  </w:divBdr>
                </w:div>
              </w:divsChild>
            </w:div>
            <w:div w:id="1068501506">
              <w:marLeft w:val="0"/>
              <w:marRight w:val="0"/>
              <w:marTop w:val="0"/>
              <w:marBottom w:val="0"/>
              <w:divBdr>
                <w:top w:val="none" w:sz="0" w:space="0" w:color="auto"/>
                <w:left w:val="none" w:sz="0" w:space="0" w:color="auto"/>
                <w:bottom w:val="none" w:sz="0" w:space="0" w:color="auto"/>
                <w:right w:val="none" w:sz="0" w:space="0" w:color="auto"/>
              </w:divBdr>
              <w:divsChild>
                <w:div w:id="2111855696">
                  <w:marLeft w:val="0"/>
                  <w:marRight w:val="0"/>
                  <w:marTop w:val="0"/>
                  <w:marBottom w:val="0"/>
                  <w:divBdr>
                    <w:top w:val="none" w:sz="0" w:space="0" w:color="auto"/>
                    <w:left w:val="none" w:sz="0" w:space="0" w:color="auto"/>
                    <w:bottom w:val="none" w:sz="0" w:space="0" w:color="auto"/>
                    <w:right w:val="none" w:sz="0" w:space="0" w:color="auto"/>
                  </w:divBdr>
                </w:div>
                <w:div w:id="408115442">
                  <w:marLeft w:val="0"/>
                  <w:marRight w:val="0"/>
                  <w:marTop w:val="0"/>
                  <w:marBottom w:val="0"/>
                  <w:divBdr>
                    <w:top w:val="none" w:sz="0" w:space="0" w:color="auto"/>
                    <w:left w:val="none" w:sz="0" w:space="0" w:color="auto"/>
                    <w:bottom w:val="none" w:sz="0" w:space="0" w:color="auto"/>
                    <w:right w:val="none" w:sz="0" w:space="0" w:color="auto"/>
                  </w:divBdr>
                </w:div>
                <w:div w:id="1674458314">
                  <w:marLeft w:val="0"/>
                  <w:marRight w:val="0"/>
                  <w:marTop w:val="0"/>
                  <w:marBottom w:val="0"/>
                  <w:divBdr>
                    <w:top w:val="none" w:sz="0" w:space="0" w:color="auto"/>
                    <w:left w:val="none" w:sz="0" w:space="0" w:color="auto"/>
                    <w:bottom w:val="none" w:sz="0" w:space="0" w:color="auto"/>
                    <w:right w:val="none" w:sz="0" w:space="0" w:color="auto"/>
                  </w:divBdr>
                </w:div>
                <w:div w:id="1123156563">
                  <w:marLeft w:val="0"/>
                  <w:marRight w:val="0"/>
                  <w:marTop w:val="0"/>
                  <w:marBottom w:val="0"/>
                  <w:divBdr>
                    <w:top w:val="none" w:sz="0" w:space="0" w:color="auto"/>
                    <w:left w:val="none" w:sz="0" w:space="0" w:color="auto"/>
                    <w:bottom w:val="none" w:sz="0" w:space="0" w:color="auto"/>
                    <w:right w:val="none" w:sz="0" w:space="0" w:color="auto"/>
                  </w:divBdr>
                </w:div>
              </w:divsChild>
            </w:div>
            <w:div w:id="1182859570">
              <w:marLeft w:val="0"/>
              <w:marRight w:val="0"/>
              <w:marTop w:val="0"/>
              <w:marBottom w:val="0"/>
              <w:divBdr>
                <w:top w:val="none" w:sz="0" w:space="0" w:color="auto"/>
                <w:left w:val="none" w:sz="0" w:space="0" w:color="auto"/>
                <w:bottom w:val="none" w:sz="0" w:space="0" w:color="auto"/>
                <w:right w:val="none" w:sz="0" w:space="0" w:color="auto"/>
              </w:divBdr>
              <w:divsChild>
                <w:div w:id="1424565829">
                  <w:marLeft w:val="0"/>
                  <w:marRight w:val="0"/>
                  <w:marTop w:val="0"/>
                  <w:marBottom w:val="0"/>
                  <w:divBdr>
                    <w:top w:val="none" w:sz="0" w:space="0" w:color="auto"/>
                    <w:left w:val="none" w:sz="0" w:space="0" w:color="auto"/>
                    <w:bottom w:val="none" w:sz="0" w:space="0" w:color="auto"/>
                    <w:right w:val="none" w:sz="0" w:space="0" w:color="auto"/>
                  </w:divBdr>
                </w:div>
              </w:divsChild>
            </w:div>
            <w:div w:id="249003826">
              <w:marLeft w:val="0"/>
              <w:marRight w:val="0"/>
              <w:marTop w:val="0"/>
              <w:marBottom w:val="0"/>
              <w:divBdr>
                <w:top w:val="none" w:sz="0" w:space="0" w:color="auto"/>
                <w:left w:val="none" w:sz="0" w:space="0" w:color="auto"/>
                <w:bottom w:val="none" w:sz="0" w:space="0" w:color="auto"/>
                <w:right w:val="none" w:sz="0" w:space="0" w:color="auto"/>
              </w:divBdr>
              <w:divsChild>
                <w:div w:id="1172918189">
                  <w:marLeft w:val="0"/>
                  <w:marRight w:val="0"/>
                  <w:marTop w:val="0"/>
                  <w:marBottom w:val="0"/>
                  <w:divBdr>
                    <w:top w:val="none" w:sz="0" w:space="0" w:color="auto"/>
                    <w:left w:val="none" w:sz="0" w:space="0" w:color="auto"/>
                    <w:bottom w:val="none" w:sz="0" w:space="0" w:color="auto"/>
                    <w:right w:val="none" w:sz="0" w:space="0" w:color="auto"/>
                  </w:divBdr>
                  <w:divsChild>
                    <w:div w:id="1917743801">
                      <w:marLeft w:val="0"/>
                      <w:marRight w:val="0"/>
                      <w:marTop w:val="0"/>
                      <w:marBottom w:val="0"/>
                      <w:divBdr>
                        <w:top w:val="none" w:sz="0" w:space="0" w:color="auto"/>
                        <w:left w:val="none" w:sz="0" w:space="0" w:color="auto"/>
                        <w:bottom w:val="none" w:sz="0" w:space="0" w:color="auto"/>
                        <w:right w:val="none" w:sz="0" w:space="0" w:color="auto"/>
                      </w:divBdr>
                    </w:div>
                  </w:divsChild>
                </w:div>
                <w:div w:id="1680349112">
                  <w:marLeft w:val="0"/>
                  <w:marRight w:val="0"/>
                  <w:marTop w:val="0"/>
                  <w:marBottom w:val="0"/>
                  <w:divBdr>
                    <w:top w:val="none" w:sz="0" w:space="0" w:color="auto"/>
                    <w:left w:val="none" w:sz="0" w:space="0" w:color="auto"/>
                    <w:bottom w:val="none" w:sz="0" w:space="0" w:color="auto"/>
                    <w:right w:val="none" w:sz="0" w:space="0" w:color="auto"/>
                  </w:divBdr>
                  <w:divsChild>
                    <w:div w:id="875317693">
                      <w:marLeft w:val="0"/>
                      <w:marRight w:val="0"/>
                      <w:marTop w:val="0"/>
                      <w:marBottom w:val="0"/>
                      <w:divBdr>
                        <w:top w:val="none" w:sz="0" w:space="0" w:color="auto"/>
                        <w:left w:val="none" w:sz="0" w:space="0" w:color="auto"/>
                        <w:bottom w:val="none" w:sz="0" w:space="0" w:color="auto"/>
                        <w:right w:val="none" w:sz="0" w:space="0" w:color="auto"/>
                      </w:divBdr>
                    </w:div>
                  </w:divsChild>
                </w:div>
                <w:div w:id="677730992">
                  <w:marLeft w:val="0"/>
                  <w:marRight w:val="0"/>
                  <w:marTop w:val="0"/>
                  <w:marBottom w:val="0"/>
                  <w:divBdr>
                    <w:top w:val="none" w:sz="0" w:space="0" w:color="auto"/>
                    <w:left w:val="none" w:sz="0" w:space="0" w:color="auto"/>
                    <w:bottom w:val="none" w:sz="0" w:space="0" w:color="auto"/>
                    <w:right w:val="none" w:sz="0" w:space="0" w:color="auto"/>
                  </w:divBdr>
                  <w:divsChild>
                    <w:div w:id="2071809667">
                      <w:marLeft w:val="0"/>
                      <w:marRight w:val="0"/>
                      <w:marTop w:val="0"/>
                      <w:marBottom w:val="0"/>
                      <w:divBdr>
                        <w:top w:val="none" w:sz="0" w:space="0" w:color="auto"/>
                        <w:left w:val="none" w:sz="0" w:space="0" w:color="auto"/>
                        <w:bottom w:val="none" w:sz="0" w:space="0" w:color="auto"/>
                        <w:right w:val="none" w:sz="0" w:space="0" w:color="auto"/>
                      </w:divBdr>
                    </w:div>
                  </w:divsChild>
                </w:div>
                <w:div w:id="2075082966">
                  <w:marLeft w:val="0"/>
                  <w:marRight w:val="0"/>
                  <w:marTop w:val="0"/>
                  <w:marBottom w:val="0"/>
                  <w:divBdr>
                    <w:top w:val="none" w:sz="0" w:space="0" w:color="auto"/>
                    <w:left w:val="none" w:sz="0" w:space="0" w:color="auto"/>
                    <w:bottom w:val="none" w:sz="0" w:space="0" w:color="auto"/>
                    <w:right w:val="none" w:sz="0" w:space="0" w:color="auto"/>
                  </w:divBdr>
                  <w:divsChild>
                    <w:div w:id="659892116">
                      <w:marLeft w:val="0"/>
                      <w:marRight w:val="0"/>
                      <w:marTop w:val="0"/>
                      <w:marBottom w:val="0"/>
                      <w:divBdr>
                        <w:top w:val="none" w:sz="0" w:space="0" w:color="auto"/>
                        <w:left w:val="none" w:sz="0" w:space="0" w:color="auto"/>
                        <w:bottom w:val="none" w:sz="0" w:space="0" w:color="auto"/>
                        <w:right w:val="none" w:sz="0" w:space="0" w:color="auto"/>
                      </w:divBdr>
                    </w:div>
                  </w:divsChild>
                </w:div>
                <w:div w:id="1268779142">
                  <w:marLeft w:val="0"/>
                  <w:marRight w:val="0"/>
                  <w:marTop w:val="0"/>
                  <w:marBottom w:val="0"/>
                  <w:divBdr>
                    <w:top w:val="none" w:sz="0" w:space="0" w:color="auto"/>
                    <w:left w:val="none" w:sz="0" w:space="0" w:color="auto"/>
                    <w:bottom w:val="none" w:sz="0" w:space="0" w:color="auto"/>
                    <w:right w:val="none" w:sz="0" w:space="0" w:color="auto"/>
                  </w:divBdr>
                  <w:divsChild>
                    <w:div w:id="2117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321">
              <w:marLeft w:val="0"/>
              <w:marRight w:val="0"/>
              <w:marTop w:val="0"/>
              <w:marBottom w:val="0"/>
              <w:divBdr>
                <w:top w:val="none" w:sz="0" w:space="0" w:color="auto"/>
                <w:left w:val="none" w:sz="0" w:space="0" w:color="auto"/>
                <w:bottom w:val="none" w:sz="0" w:space="0" w:color="auto"/>
                <w:right w:val="none" w:sz="0" w:space="0" w:color="auto"/>
              </w:divBdr>
              <w:divsChild>
                <w:div w:id="14842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580">
          <w:marLeft w:val="0"/>
          <w:marRight w:val="0"/>
          <w:marTop w:val="0"/>
          <w:marBottom w:val="0"/>
          <w:divBdr>
            <w:top w:val="none" w:sz="0" w:space="0" w:color="auto"/>
            <w:left w:val="none" w:sz="0" w:space="0" w:color="auto"/>
            <w:bottom w:val="none" w:sz="0" w:space="0" w:color="auto"/>
            <w:right w:val="none" w:sz="0" w:space="0" w:color="auto"/>
          </w:divBdr>
          <w:divsChild>
            <w:div w:id="340279934">
              <w:marLeft w:val="0"/>
              <w:marRight w:val="0"/>
              <w:marTop w:val="0"/>
              <w:marBottom w:val="0"/>
              <w:divBdr>
                <w:top w:val="none" w:sz="0" w:space="0" w:color="auto"/>
                <w:left w:val="none" w:sz="0" w:space="0" w:color="auto"/>
                <w:bottom w:val="none" w:sz="0" w:space="0" w:color="auto"/>
                <w:right w:val="none" w:sz="0" w:space="0" w:color="auto"/>
              </w:divBdr>
              <w:divsChild>
                <w:div w:id="1761637371">
                  <w:marLeft w:val="0"/>
                  <w:marRight w:val="0"/>
                  <w:marTop w:val="0"/>
                  <w:marBottom w:val="0"/>
                  <w:divBdr>
                    <w:top w:val="none" w:sz="0" w:space="0" w:color="auto"/>
                    <w:left w:val="none" w:sz="0" w:space="0" w:color="auto"/>
                    <w:bottom w:val="none" w:sz="0" w:space="0" w:color="auto"/>
                    <w:right w:val="none" w:sz="0" w:space="0" w:color="auto"/>
                  </w:divBdr>
                </w:div>
              </w:divsChild>
            </w:div>
            <w:div w:id="1054541747">
              <w:marLeft w:val="0"/>
              <w:marRight w:val="0"/>
              <w:marTop w:val="0"/>
              <w:marBottom w:val="0"/>
              <w:divBdr>
                <w:top w:val="none" w:sz="0" w:space="0" w:color="auto"/>
                <w:left w:val="none" w:sz="0" w:space="0" w:color="auto"/>
                <w:bottom w:val="none" w:sz="0" w:space="0" w:color="auto"/>
                <w:right w:val="none" w:sz="0" w:space="0" w:color="auto"/>
              </w:divBdr>
              <w:divsChild>
                <w:div w:id="47343718">
                  <w:marLeft w:val="0"/>
                  <w:marRight w:val="0"/>
                  <w:marTop w:val="0"/>
                  <w:marBottom w:val="0"/>
                  <w:divBdr>
                    <w:top w:val="none" w:sz="0" w:space="0" w:color="auto"/>
                    <w:left w:val="none" w:sz="0" w:space="0" w:color="auto"/>
                    <w:bottom w:val="none" w:sz="0" w:space="0" w:color="auto"/>
                    <w:right w:val="none" w:sz="0" w:space="0" w:color="auto"/>
                  </w:divBdr>
                </w:div>
              </w:divsChild>
            </w:div>
            <w:div w:id="1535800482">
              <w:marLeft w:val="0"/>
              <w:marRight w:val="0"/>
              <w:marTop w:val="0"/>
              <w:marBottom w:val="0"/>
              <w:divBdr>
                <w:top w:val="none" w:sz="0" w:space="0" w:color="auto"/>
                <w:left w:val="none" w:sz="0" w:space="0" w:color="auto"/>
                <w:bottom w:val="none" w:sz="0" w:space="0" w:color="auto"/>
                <w:right w:val="none" w:sz="0" w:space="0" w:color="auto"/>
              </w:divBdr>
              <w:divsChild>
                <w:div w:id="1613899668">
                  <w:marLeft w:val="0"/>
                  <w:marRight w:val="0"/>
                  <w:marTop w:val="0"/>
                  <w:marBottom w:val="0"/>
                  <w:divBdr>
                    <w:top w:val="none" w:sz="0" w:space="0" w:color="auto"/>
                    <w:left w:val="none" w:sz="0" w:space="0" w:color="auto"/>
                    <w:bottom w:val="none" w:sz="0" w:space="0" w:color="auto"/>
                    <w:right w:val="none" w:sz="0" w:space="0" w:color="auto"/>
                  </w:divBdr>
                </w:div>
              </w:divsChild>
            </w:div>
            <w:div w:id="430248559">
              <w:marLeft w:val="0"/>
              <w:marRight w:val="0"/>
              <w:marTop w:val="0"/>
              <w:marBottom w:val="0"/>
              <w:divBdr>
                <w:top w:val="none" w:sz="0" w:space="0" w:color="auto"/>
                <w:left w:val="none" w:sz="0" w:space="0" w:color="auto"/>
                <w:bottom w:val="none" w:sz="0" w:space="0" w:color="auto"/>
                <w:right w:val="none" w:sz="0" w:space="0" w:color="auto"/>
              </w:divBdr>
              <w:divsChild>
                <w:div w:id="352390639">
                  <w:marLeft w:val="0"/>
                  <w:marRight w:val="0"/>
                  <w:marTop w:val="0"/>
                  <w:marBottom w:val="0"/>
                  <w:divBdr>
                    <w:top w:val="none" w:sz="0" w:space="0" w:color="auto"/>
                    <w:left w:val="none" w:sz="0" w:space="0" w:color="auto"/>
                    <w:bottom w:val="none" w:sz="0" w:space="0" w:color="auto"/>
                    <w:right w:val="none" w:sz="0" w:space="0" w:color="auto"/>
                  </w:divBdr>
                </w:div>
              </w:divsChild>
            </w:div>
            <w:div w:id="186336091">
              <w:marLeft w:val="0"/>
              <w:marRight w:val="0"/>
              <w:marTop w:val="0"/>
              <w:marBottom w:val="0"/>
              <w:divBdr>
                <w:top w:val="none" w:sz="0" w:space="0" w:color="auto"/>
                <w:left w:val="none" w:sz="0" w:space="0" w:color="auto"/>
                <w:bottom w:val="none" w:sz="0" w:space="0" w:color="auto"/>
                <w:right w:val="none" w:sz="0" w:space="0" w:color="auto"/>
              </w:divBdr>
              <w:divsChild>
                <w:div w:id="1136289439">
                  <w:marLeft w:val="0"/>
                  <w:marRight w:val="0"/>
                  <w:marTop w:val="0"/>
                  <w:marBottom w:val="0"/>
                  <w:divBdr>
                    <w:top w:val="none" w:sz="0" w:space="0" w:color="auto"/>
                    <w:left w:val="none" w:sz="0" w:space="0" w:color="auto"/>
                    <w:bottom w:val="none" w:sz="0" w:space="0" w:color="auto"/>
                    <w:right w:val="none" w:sz="0" w:space="0" w:color="auto"/>
                  </w:divBdr>
                </w:div>
              </w:divsChild>
            </w:div>
            <w:div w:id="708913001">
              <w:marLeft w:val="0"/>
              <w:marRight w:val="0"/>
              <w:marTop w:val="0"/>
              <w:marBottom w:val="0"/>
              <w:divBdr>
                <w:top w:val="none" w:sz="0" w:space="0" w:color="auto"/>
                <w:left w:val="none" w:sz="0" w:space="0" w:color="auto"/>
                <w:bottom w:val="none" w:sz="0" w:space="0" w:color="auto"/>
                <w:right w:val="none" w:sz="0" w:space="0" w:color="auto"/>
              </w:divBdr>
              <w:divsChild>
                <w:div w:id="511144238">
                  <w:marLeft w:val="0"/>
                  <w:marRight w:val="0"/>
                  <w:marTop w:val="0"/>
                  <w:marBottom w:val="0"/>
                  <w:divBdr>
                    <w:top w:val="none" w:sz="0" w:space="0" w:color="auto"/>
                    <w:left w:val="none" w:sz="0" w:space="0" w:color="auto"/>
                    <w:bottom w:val="none" w:sz="0" w:space="0" w:color="auto"/>
                    <w:right w:val="none" w:sz="0" w:space="0" w:color="auto"/>
                  </w:divBdr>
                </w:div>
              </w:divsChild>
            </w:div>
            <w:div w:id="1944217681">
              <w:marLeft w:val="0"/>
              <w:marRight w:val="0"/>
              <w:marTop w:val="0"/>
              <w:marBottom w:val="0"/>
              <w:divBdr>
                <w:top w:val="none" w:sz="0" w:space="0" w:color="auto"/>
                <w:left w:val="none" w:sz="0" w:space="0" w:color="auto"/>
                <w:bottom w:val="none" w:sz="0" w:space="0" w:color="auto"/>
                <w:right w:val="none" w:sz="0" w:space="0" w:color="auto"/>
              </w:divBdr>
              <w:divsChild>
                <w:div w:id="1958871857">
                  <w:marLeft w:val="0"/>
                  <w:marRight w:val="0"/>
                  <w:marTop w:val="0"/>
                  <w:marBottom w:val="0"/>
                  <w:divBdr>
                    <w:top w:val="none" w:sz="0" w:space="0" w:color="auto"/>
                    <w:left w:val="none" w:sz="0" w:space="0" w:color="auto"/>
                    <w:bottom w:val="none" w:sz="0" w:space="0" w:color="auto"/>
                    <w:right w:val="none" w:sz="0" w:space="0" w:color="auto"/>
                  </w:divBdr>
                </w:div>
              </w:divsChild>
            </w:div>
            <w:div w:id="1217162690">
              <w:marLeft w:val="0"/>
              <w:marRight w:val="0"/>
              <w:marTop w:val="0"/>
              <w:marBottom w:val="0"/>
              <w:divBdr>
                <w:top w:val="none" w:sz="0" w:space="0" w:color="auto"/>
                <w:left w:val="none" w:sz="0" w:space="0" w:color="auto"/>
                <w:bottom w:val="none" w:sz="0" w:space="0" w:color="auto"/>
                <w:right w:val="none" w:sz="0" w:space="0" w:color="auto"/>
              </w:divBdr>
              <w:divsChild>
                <w:div w:id="143088858">
                  <w:marLeft w:val="0"/>
                  <w:marRight w:val="0"/>
                  <w:marTop w:val="0"/>
                  <w:marBottom w:val="0"/>
                  <w:divBdr>
                    <w:top w:val="none" w:sz="0" w:space="0" w:color="auto"/>
                    <w:left w:val="none" w:sz="0" w:space="0" w:color="auto"/>
                    <w:bottom w:val="none" w:sz="0" w:space="0" w:color="auto"/>
                    <w:right w:val="none" w:sz="0" w:space="0" w:color="auto"/>
                  </w:divBdr>
                </w:div>
              </w:divsChild>
            </w:div>
            <w:div w:id="1409573185">
              <w:marLeft w:val="0"/>
              <w:marRight w:val="0"/>
              <w:marTop w:val="0"/>
              <w:marBottom w:val="0"/>
              <w:divBdr>
                <w:top w:val="none" w:sz="0" w:space="0" w:color="auto"/>
                <w:left w:val="none" w:sz="0" w:space="0" w:color="auto"/>
                <w:bottom w:val="none" w:sz="0" w:space="0" w:color="auto"/>
                <w:right w:val="none" w:sz="0" w:space="0" w:color="auto"/>
              </w:divBdr>
              <w:divsChild>
                <w:div w:id="1185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9262">
          <w:marLeft w:val="0"/>
          <w:marRight w:val="0"/>
          <w:marTop w:val="0"/>
          <w:marBottom w:val="0"/>
          <w:divBdr>
            <w:top w:val="none" w:sz="0" w:space="0" w:color="auto"/>
            <w:left w:val="none" w:sz="0" w:space="0" w:color="auto"/>
            <w:bottom w:val="none" w:sz="0" w:space="0" w:color="auto"/>
            <w:right w:val="none" w:sz="0" w:space="0" w:color="auto"/>
          </w:divBdr>
          <w:divsChild>
            <w:div w:id="1782411740">
              <w:marLeft w:val="0"/>
              <w:marRight w:val="0"/>
              <w:marTop w:val="0"/>
              <w:marBottom w:val="0"/>
              <w:divBdr>
                <w:top w:val="none" w:sz="0" w:space="0" w:color="auto"/>
                <w:left w:val="none" w:sz="0" w:space="0" w:color="auto"/>
                <w:bottom w:val="none" w:sz="0" w:space="0" w:color="auto"/>
                <w:right w:val="none" w:sz="0" w:space="0" w:color="auto"/>
              </w:divBdr>
              <w:divsChild>
                <w:div w:id="6857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787">
      <w:bodyDiv w:val="1"/>
      <w:marLeft w:val="0"/>
      <w:marRight w:val="0"/>
      <w:marTop w:val="0"/>
      <w:marBottom w:val="0"/>
      <w:divBdr>
        <w:top w:val="none" w:sz="0" w:space="0" w:color="auto"/>
        <w:left w:val="none" w:sz="0" w:space="0" w:color="auto"/>
        <w:bottom w:val="none" w:sz="0" w:space="0" w:color="auto"/>
        <w:right w:val="none" w:sz="0" w:space="0" w:color="auto"/>
      </w:divBdr>
      <w:divsChild>
        <w:div w:id="359671175">
          <w:marLeft w:val="0"/>
          <w:marRight w:val="0"/>
          <w:marTop w:val="0"/>
          <w:marBottom w:val="0"/>
          <w:divBdr>
            <w:top w:val="none" w:sz="0" w:space="0" w:color="auto"/>
            <w:left w:val="none" w:sz="0" w:space="0" w:color="auto"/>
            <w:bottom w:val="none" w:sz="0" w:space="0" w:color="auto"/>
            <w:right w:val="none" w:sz="0" w:space="0" w:color="auto"/>
          </w:divBdr>
          <w:divsChild>
            <w:div w:id="690107291">
              <w:marLeft w:val="0"/>
              <w:marRight w:val="0"/>
              <w:marTop w:val="0"/>
              <w:marBottom w:val="0"/>
              <w:divBdr>
                <w:top w:val="none" w:sz="0" w:space="0" w:color="auto"/>
                <w:left w:val="none" w:sz="0" w:space="0" w:color="auto"/>
                <w:bottom w:val="none" w:sz="0" w:space="0" w:color="auto"/>
                <w:right w:val="none" w:sz="0" w:space="0" w:color="auto"/>
              </w:divBdr>
              <w:divsChild>
                <w:div w:id="1260139975">
                  <w:marLeft w:val="0"/>
                  <w:marRight w:val="0"/>
                  <w:marTop w:val="0"/>
                  <w:marBottom w:val="0"/>
                  <w:divBdr>
                    <w:top w:val="none" w:sz="0" w:space="0" w:color="auto"/>
                    <w:left w:val="none" w:sz="0" w:space="0" w:color="auto"/>
                    <w:bottom w:val="none" w:sz="0" w:space="0" w:color="auto"/>
                    <w:right w:val="none" w:sz="0" w:space="0" w:color="auto"/>
                  </w:divBdr>
                </w:div>
              </w:divsChild>
            </w:div>
            <w:div w:id="278529392">
              <w:marLeft w:val="0"/>
              <w:marRight w:val="0"/>
              <w:marTop w:val="0"/>
              <w:marBottom w:val="0"/>
              <w:divBdr>
                <w:top w:val="none" w:sz="0" w:space="0" w:color="auto"/>
                <w:left w:val="none" w:sz="0" w:space="0" w:color="auto"/>
                <w:bottom w:val="none" w:sz="0" w:space="0" w:color="auto"/>
                <w:right w:val="none" w:sz="0" w:space="0" w:color="auto"/>
              </w:divBdr>
              <w:divsChild>
                <w:div w:id="1222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1919">
          <w:marLeft w:val="0"/>
          <w:marRight w:val="0"/>
          <w:marTop w:val="0"/>
          <w:marBottom w:val="0"/>
          <w:divBdr>
            <w:top w:val="none" w:sz="0" w:space="0" w:color="auto"/>
            <w:left w:val="none" w:sz="0" w:space="0" w:color="auto"/>
            <w:bottom w:val="none" w:sz="0" w:space="0" w:color="auto"/>
            <w:right w:val="none" w:sz="0" w:space="0" w:color="auto"/>
          </w:divBdr>
          <w:divsChild>
            <w:div w:id="1522351370">
              <w:marLeft w:val="0"/>
              <w:marRight w:val="0"/>
              <w:marTop w:val="0"/>
              <w:marBottom w:val="0"/>
              <w:divBdr>
                <w:top w:val="none" w:sz="0" w:space="0" w:color="auto"/>
                <w:left w:val="none" w:sz="0" w:space="0" w:color="auto"/>
                <w:bottom w:val="none" w:sz="0" w:space="0" w:color="auto"/>
                <w:right w:val="none" w:sz="0" w:space="0" w:color="auto"/>
              </w:divBdr>
              <w:divsChild>
                <w:div w:id="1297683376">
                  <w:marLeft w:val="0"/>
                  <w:marRight w:val="0"/>
                  <w:marTop w:val="0"/>
                  <w:marBottom w:val="0"/>
                  <w:divBdr>
                    <w:top w:val="none" w:sz="0" w:space="0" w:color="auto"/>
                    <w:left w:val="none" w:sz="0" w:space="0" w:color="auto"/>
                    <w:bottom w:val="none" w:sz="0" w:space="0" w:color="auto"/>
                    <w:right w:val="none" w:sz="0" w:space="0" w:color="auto"/>
                  </w:divBdr>
                </w:div>
              </w:divsChild>
            </w:div>
            <w:div w:id="1984964157">
              <w:marLeft w:val="0"/>
              <w:marRight w:val="0"/>
              <w:marTop w:val="0"/>
              <w:marBottom w:val="0"/>
              <w:divBdr>
                <w:top w:val="none" w:sz="0" w:space="0" w:color="auto"/>
                <w:left w:val="none" w:sz="0" w:space="0" w:color="auto"/>
                <w:bottom w:val="none" w:sz="0" w:space="0" w:color="auto"/>
                <w:right w:val="none" w:sz="0" w:space="0" w:color="auto"/>
              </w:divBdr>
              <w:divsChild>
                <w:div w:id="1049038542">
                  <w:marLeft w:val="0"/>
                  <w:marRight w:val="0"/>
                  <w:marTop w:val="0"/>
                  <w:marBottom w:val="0"/>
                  <w:divBdr>
                    <w:top w:val="none" w:sz="0" w:space="0" w:color="auto"/>
                    <w:left w:val="none" w:sz="0" w:space="0" w:color="auto"/>
                    <w:bottom w:val="none" w:sz="0" w:space="0" w:color="auto"/>
                    <w:right w:val="none" w:sz="0" w:space="0" w:color="auto"/>
                  </w:divBdr>
                </w:div>
                <w:div w:id="2105149592">
                  <w:marLeft w:val="0"/>
                  <w:marRight w:val="0"/>
                  <w:marTop w:val="0"/>
                  <w:marBottom w:val="0"/>
                  <w:divBdr>
                    <w:top w:val="none" w:sz="0" w:space="0" w:color="auto"/>
                    <w:left w:val="none" w:sz="0" w:space="0" w:color="auto"/>
                    <w:bottom w:val="none" w:sz="0" w:space="0" w:color="auto"/>
                    <w:right w:val="none" w:sz="0" w:space="0" w:color="auto"/>
                  </w:divBdr>
                </w:div>
                <w:div w:id="695353945">
                  <w:marLeft w:val="0"/>
                  <w:marRight w:val="0"/>
                  <w:marTop w:val="0"/>
                  <w:marBottom w:val="0"/>
                  <w:divBdr>
                    <w:top w:val="none" w:sz="0" w:space="0" w:color="auto"/>
                    <w:left w:val="none" w:sz="0" w:space="0" w:color="auto"/>
                    <w:bottom w:val="none" w:sz="0" w:space="0" w:color="auto"/>
                    <w:right w:val="none" w:sz="0" w:space="0" w:color="auto"/>
                  </w:divBdr>
                </w:div>
                <w:div w:id="2047481984">
                  <w:marLeft w:val="0"/>
                  <w:marRight w:val="0"/>
                  <w:marTop w:val="0"/>
                  <w:marBottom w:val="0"/>
                  <w:divBdr>
                    <w:top w:val="none" w:sz="0" w:space="0" w:color="auto"/>
                    <w:left w:val="none" w:sz="0" w:space="0" w:color="auto"/>
                    <w:bottom w:val="none" w:sz="0" w:space="0" w:color="auto"/>
                    <w:right w:val="none" w:sz="0" w:space="0" w:color="auto"/>
                  </w:divBdr>
                </w:div>
              </w:divsChild>
            </w:div>
            <w:div w:id="464158447">
              <w:marLeft w:val="0"/>
              <w:marRight w:val="0"/>
              <w:marTop w:val="0"/>
              <w:marBottom w:val="0"/>
              <w:divBdr>
                <w:top w:val="none" w:sz="0" w:space="0" w:color="auto"/>
                <w:left w:val="none" w:sz="0" w:space="0" w:color="auto"/>
                <w:bottom w:val="none" w:sz="0" w:space="0" w:color="auto"/>
                <w:right w:val="none" w:sz="0" w:space="0" w:color="auto"/>
              </w:divBdr>
              <w:divsChild>
                <w:div w:id="1270814278">
                  <w:marLeft w:val="0"/>
                  <w:marRight w:val="0"/>
                  <w:marTop w:val="0"/>
                  <w:marBottom w:val="0"/>
                  <w:divBdr>
                    <w:top w:val="none" w:sz="0" w:space="0" w:color="auto"/>
                    <w:left w:val="none" w:sz="0" w:space="0" w:color="auto"/>
                    <w:bottom w:val="none" w:sz="0" w:space="0" w:color="auto"/>
                    <w:right w:val="none" w:sz="0" w:space="0" w:color="auto"/>
                  </w:divBdr>
                </w:div>
              </w:divsChild>
            </w:div>
            <w:div w:id="500005756">
              <w:marLeft w:val="0"/>
              <w:marRight w:val="0"/>
              <w:marTop w:val="0"/>
              <w:marBottom w:val="0"/>
              <w:divBdr>
                <w:top w:val="none" w:sz="0" w:space="0" w:color="auto"/>
                <w:left w:val="none" w:sz="0" w:space="0" w:color="auto"/>
                <w:bottom w:val="none" w:sz="0" w:space="0" w:color="auto"/>
                <w:right w:val="none" w:sz="0" w:space="0" w:color="auto"/>
              </w:divBdr>
              <w:divsChild>
                <w:div w:id="786898694">
                  <w:marLeft w:val="0"/>
                  <w:marRight w:val="0"/>
                  <w:marTop w:val="0"/>
                  <w:marBottom w:val="0"/>
                  <w:divBdr>
                    <w:top w:val="none" w:sz="0" w:space="0" w:color="auto"/>
                    <w:left w:val="none" w:sz="0" w:space="0" w:color="auto"/>
                    <w:bottom w:val="none" w:sz="0" w:space="0" w:color="auto"/>
                    <w:right w:val="none" w:sz="0" w:space="0" w:color="auto"/>
                  </w:divBdr>
                  <w:divsChild>
                    <w:div w:id="1317226465">
                      <w:marLeft w:val="0"/>
                      <w:marRight w:val="0"/>
                      <w:marTop w:val="0"/>
                      <w:marBottom w:val="0"/>
                      <w:divBdr>
                        <w:top w:val="none" w:sz="0" w:space="0" w:color="auto"/>
                        <w:left w:val="none" w:sz="0" w:space="0" w:color="auto"/>
                        <w:bottom w:val="none" w:sz="0" w:space="0" w:color="auto"/>
                        <w:right w:val="none" w:sz="0" w:space="0" w:color="auto"/>
                      </w:divBdr>
                    </w:div>
                  </w:divsChild>
                </w:div>
                <w:div w:id="1443769645">
                  <w:marLeft w:val="0"/>
                  <w:marRight w:val="0"/>
                  <w:marTop w:val="0"/>
                  <w:marBottom w:val="0"/>
                  <w:divBdr>
                    <w:top w:val="none" w:sz="0" w:space="0" w:color="auto"/>
                    <w:left w:val="none" w:sz="0" w:space="0" w:color="auto"/>
                    <w:bottom w:val="none" w:sz="0" w:space="0" w:color="auto"/>
                    <w:right w:val="none" w:sz="0" w:space="0" w:color="auto"/>
                  </w:divBdr>
                  <w:divsChild>
                    <w:div w:id="816727671">
                      <w:marLeft w:val="0"/>
                      <w:marRight w:val="0"/>
                      <w:marTop w:val="0"/>
                      <w:marBottom w:val="0"/>
                      <w:divBdr>
                        <w:top w:val="none" w:sz="0" w:space="0" w:color="auto"/>
                        <w:left w:val="none" w:sz="0" w:space="0" w:color="auto"/>
                        <w:bottom w:val="none" w:sz="0" w:space="0" w:color="auto"/>
                        <w:right w:val="none" w:sz="0" w:space="0" w:color="auto"/>
                      </w:divBdr>
                    </w:div>
                  </w:divsChild>
                </w:div>
                <w:div w:id="930087319">
                  <w:marLeft w:val="0"/>
                  <w:marRight w:val="0"/>
                  <w:marTop w:val="0"/>
                  <w:marBottom w:val="0"/>
                  <w:divBdr>
                    <w:top w:val="none" w:sz="0" w:space="0" w:color="auto"/>
                    <w:left w:val="none" w:sz="0" w:space="0" w:color="auto"/>
                    <w:bottom w:val="none" w:sz="0" w:space="0" w:color="auto"/>
                    <w:right w:val="none" w:sz="0" w:space="0" w:color="auto"/>
                  </w:divBdr>
                  <w:divsChild>
                    <w:div w:id="863402995">
                      <w:marLeft w:val="0"/>
                      <w:marRight w:val="0"/>
                      <w:marTop w:val="0"/>
                      <w:marBottom w:val="0"/>
                      <w:divBdr>
                        <w:top w:val="none" w:sz="0" w:space="0" w:color="auto"/>
                        <w:left w:val="none" w:sz="0" w:space="0" w:color="auto"/>
                        <w:bottom w:val="none" w:sz="0" w:space="0" w:color="auto"/>
                        <w:right w:val="none" w:sz="0" w:space="0" w:color="auto"/>
                      </w:divBdr>
                    </w:div>
                  </w:divsChild>
                </w:div>
                <w:div w:id="42563841">
                  <w:marLeft w:val="0"/>
                  <w:marRight w:val="0"/>
                  <w:marTop w:val="0"/>
                  <w:marBottom w:val="0"/>
                  <w:divBdr>
                    <w:top w:val="none" w:sz="0" w:space="0" w:color="auto"/>
                    <w:left w:val="none" w:sz="0" w:space="0" w:color="auto"/>
                    <w:bottom w:val="none" w:sz="0" w:space="0" w:color="auto"/>
                    <w:right w:val="none" w:sz="0" w:space="0" w:color="auto"/>
                  </w:divBdr>
                  <w:divsChild>
                    <w:div w:id="275135092">
                      <w:marLeft w:val="0"/>
                      <w:marRight w:val="0"/>
                      <w:marTop w:val="0"/>
                      <w:marBottom w:val="0"/>
                      <w:divBdr>
                        <w:top w:val="none" w:sz="0" w:space="0" w:color="auto"/>
                        <w:left w:val="none" w:sz="0" w:space="0" w:color="auto"/>
                        <w:bottom w:val="none" w:sz="0" w:space="0" w:color="auto"/>
                        <w:right w:val="none" w:sz="0" w:space="0" w:color="auto"/>
                      </w:divBdr>
                    </w:div>
                  </w:divsChild>
                </w:div>
                <w:div w:id="1698003777">
                  <w:marLeft w:val="0"/>
                  <w:marRight w:val="0"/>
                  <w:marTop w:val="0"/>
                  <w:marBottom w:val="0"/>
                  <w:divBdr>
                    <w:top w:val="none" w:sz="0" w:space="0" w:color="auto"/>
                    <w:left w:val="none" w:sz="0" w:space="0" w:color="auto"/>
                    <w:bottom w:val="none" w:sz="0" w:space="0" w:color="auto"/>
                    <w:right w:val="none" w:sz="0" w:space="0" w:color="auto"/>
                  </w:divBdr>
                  <w:divsChild>
                    <w:div w:id="14000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7244">
              <w:marLeft w:val="0"/>
              <w:marRight w:val="0"/>
              <w:marTop w:val="0"/>
              <w:marBottom w:val="0"/>
              <w:divBdr>
                <w:top w:val="none" w:sz="0" w:space="0" w:color="auto"/>
                <w:left w:val="none" w:sz="0" w:space="0" w:color="auto"/>
                <w:bottom w:val="none" w:sz="0" w:space="0" w:color="auto"/>
                <w:right w:val="none" w:sz="0" w:space="0" w:color="auto"/>
              </w:divBdr>
              <w:divsChild>
                <w:div w:id="18396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33">
          <w:marLeft w:val="0"/>
          <w:marRight w:val="0"/>
          <w:marTop w:val="0"/>
          <w:marBottom w:val="0"/>
          <w:divBdr>
            <w:top w:val="none" w:sz="0" w:space="0" w:color="auto"/>
            <w:left w:val="none" w:sz="0" w:space="0" w:color="auto"/>
            <w:bottom w:val="none" w:sz="0" w:space="0" w:color="auto"/>
            <w:right w:val="none" w:sz="0" w:space="0" w:color="auto"/>
          </w:divBdr>
          <w:divsChild>
            <w:div w:id="813987929">
              <w:marLeft w:val="0"/>
              <w:marRight w:val="0"/>
              <w:marTop w:val="0"/>
              <w:marBottom w:val="0"/>
              <w:divBdr>
                <w:top w:val="none" w:sz="0" w:space="0" w:color="auto"/>
                <w:left w:val="none" w:sz="0" w:space="0" w:color="auto"/>
                <w:bottom w:val="none" w:sz="0" w:space="0" w:color="auto"/>
                <w:right w:val="none" w:sz="0" w:space="0" w:color="auto"/>
              </w:divBdr>
              <w:divsChild>
                <w:div w:id="755712389">
                  <w:marLeft w:val="0"/>
                  <w:marRight w:val="0"/>
                  <w:marTop w:val="0"/>
                  <w:marBottom w:val="0"/>
                  <w:divBdr>
                    <w:top w:val="none" w:sz="0" w:space="0" w:color="auto"/>
                    <w:left w:val="none" w:sz="0" w:space="0" w:color="auto"/>
                    <w:bottom w:val="none" w:sz="0" w:space="0" w:color="auto"/>
                    <w:right w:val="none" w:sz="0" w:space="0" w:color="auto"/>
                  </w:divBdr>
                </w:div>
              </w:divsChild>
            </w:div>
            <w:div w:id="1786004776">
              <w:marLeft w:val="0"/>
              <w:marRight w:val="0"/>
              <w:marTop w:val="0"/>
              <w:marBottom w:val="0"/>
              <w:divBdr>
                <w:top w:val="none" w:sz="0" w:space="0" w:color="auto"/>
                <w:left w:val="none" w:sz="0" w:space="0" w:color="auto"/>
                <w:bottom w:val="none" w:sz="0" w:space="0" w:color="auto"/>
                <w:right w:val="none" w:sz="0" w:space="0" w:color="auto"/>
              </w:divBdr>
              <w:divsChild>
                <w:div w:id="428896080">
                  <w:marLeft w:val="0"/>
                  <w:marRight w:val="0"/>
                  <w:marTop w:val="0"/>
                  <w:marBottom w:val="0"/>
                  <w:divBdr>
                    <w:top w:val="none" w:sz="0" w:space="0" w:color="auto"/>
                    <w:left w:val="none" w:sz="0" w:space="0" w:color="auto"/>
                    <w:bottom w:val="none" w:sz="0" w:space="0" w:color="auto"/>
                    <w:right w:val="none" w:sz="0" w:space="0" w:color="auto"/>
                  </w:divBdr>
                </w:div>
              </w:divsChild>
            </w:div>
            <w:div w:id="8679040">
              <w:marLeft w:val="0"/>
              <w:marRight w:val="0"/>
              <w:marTop w:val="0"/>
              <w:marBottom w:val="0"/>
              <w:divBdr>
                <w:top w:val="none" w:sz="0" w:space="0" w:color="auto"/>
                <w:left w:val="none" w:sz="0" w:space="0" w:color="auto"/>
                <w:bottom w:val="none" w:sz="0" w:space="0" w:color="auto"/>
                <w:right w:val="none" w:sz="0" w:space="0" w:color="auto"/>
              </w:divBdr>
              <w:divsChild>
                <w:div w:id="897087266">
                  <w:marLeft w:val="0"/>
                  <w:marRight w:val="0"/>
                  <w:marTop w:val="0"/>
                  <w:marBottom w:val="0"/>
                  <w:divBdr>
                    <w:top w:val="none" w:sz="0" w:space="0" w:color="auto"/>
                    <w:left w:val="none" w:sz="0" w:space="0" w:color="auto"/>
                    <w:bottom w:val="none" w:sz="0" w:space="0" w:color="auto"/>
                    <w:right w:val="none" w:sz="0" w:space="0" w:color="auto"/>
                  </w:divBdr>
                </w:div>
              </w:divsChild>
            </w:div>
            <w:div w:id="1004091019">
              <w:marLeft w:val="0"/>
              <w:marRight w:val="0"/>
              <w:marTop w:val="0"/>
              <w:marBottom w:val="0"/>
              <w:divBdr>
                <w:top w:val="none" w:sz="0" w:space="0" w:color="auto"/>
                <w:left w:val="none" w:sz="0" w:space="0" w:color="auto"/>
                <w:bottom w:val="none" w:sz="0" w:space="0" w:color="auto"/>
                <w:right w:val="none" w:sz="0" w:space="0" w:color="auto"/>
              </w:divBdr>
              <w:divsChild>
                <w:div w:id="1085692168">
                  <w:marLeft w:val="0"/>
                  <w:marRight w:val="0"/>
                  <w:marTop w:val="0"/>
                  <w:marBottom w:val="0"/>
                  <w:divBdr>
                    <w:top w:val="none" w:sz="0" w:space="0" w:color="auto"/>
                    <w:left w:val="none" w:sz="0" w:space="0" w:color="auto"/>
                    <w:bottom w:val="none" w:sz="0" w:space="0" w:color="auto"/>
                    <w:right w:val="none" w:sz="0" w:space="0" w:color="auto"/>
                  </w:divBdr>
                </w:div>
              </w:divsChild>
            </w:div>
            <w:div w:id="1415974876">
              <w:marLeft w:val="0"/>
              <w:marRight w:val="0"/>
              <w:marTop w:val="0"/>
              <w:marBottom w:val="0"/>
              <w:divBdr>
                <w:top w:val="none" w:sz="0" w:space="0" w:color="auto"/>
                <w:left w:val="none" w:sz="0" w:space="0" w:color="auto"/>
                <w:bottom w:val="none" w:sz="0" w:space="0" w:color="auto"/>
                <w:right w:val="none" w:sz="0" w:space="0" w:color="auto"/>
              </w:divBdr>
              <w:divsChild>
                <w:div w:id="491990038">
                  <w:marLeft w:val="0"/>
                  <w:marRight w:val="0"/>
                  <w:marTop w:val="0"/>
                  <w:marBottom w:val="0"/>
                  <w:divBdr>
                    <w:top w:val="none" w:sz="0" w:space="0" w:color="auto"/>
                    <w:left w:val="none" w:sz="0" w:space="0" w:color="auto"/>
                    <w:bottom w:val="none" w:sz="0" w:space="0" w:color="auto"/>
                    <w:right w:val="none" w:sz="0" w:space="0" w:color="auto"/>
                  </w:divBdr>
                </w:div>
              </w:divsChild>
            </w:div>
            <w:div w:id="1939407476">
              <w:marLeft w:val="0"/>
              <w:marRight w:val="0"/>
              <w:marTop w:val="0"/>
              <w:marBottom w:val="0"/>
              <w:divBdr>
                <w:top w:val="none" w:sz="0" w:space="0" w:color="auto"/>
                <w:left w:val="none" w:sz="0" w:space="0" w:color="auto"/>
                <w:bottom w:val="none" w:sz="0" w:space="0" w:color="auto"/>
                <w:right w:val="none" w:sz="0" w:space="0" w:color="auto"/>
              </w:divBdr>
              <w:divsChild>
                <w:div w:id="2058242503">
                  <w:marLeft w:val="0"/>
                  <w:marRight w:val="0"/>
                  <w:marTop w:val="0"/>
                  <w:marBottom w:val="0"/>
                  <w:divBdr>
                    <w:top w:val="none" w:sz="0" w:space="0" w:color="auto"/>
                    <w:left w:val="none" w:sz="0" w:space="0" w:color="auto"/>
                    <w:bottom w:val="none" w:sz="0" w:space="0" w:color="auto"/>
                    <w:right w:val="none" w:sz="0" w:space="0" w:color="auto"/>
                  </w:divBdr>
                </w:div>
              </w:divsChild>
            </w:div>
            <w:div w:id="349256381">
              <w:marLeft w:val="0"/>
              <w:marRight w:val="0"/>
              <w:marTop w:val="0"/>
              <w:marBottom w:val="0"/>
              <w:divBdr>
                <w:top w:val="none" w:sz="0" w:space="0" w:color="auto"/>
                <w:left w:val="none" w:sz="0" w:space="0" w:color="auto"/>
                <w:bottom w:val="none" w:sz="0" w:space="0" w:color="auto"/>
                <w:right w:val="none" w:sz="0" w:space="0" w:color="auto"/>
              </w:divBdr>
              <w:divsChild>
                <w:div w:id="785584853">
                  <w:marLeft w:val="0"/>
                  <w:marRight w:val="0"/>
                  <w:marTop w:val="0"/>
                  <w:marBottom w:val="0"/>
                  <w:divBdr>
                    <w:top w:val="none" w:sz="0" w:space="0" w:color="auto"/>
                    <w:left w:val="none" w:sz="0" w:space="0" w:color="auto"/>
                    <w:bottom w:val="none" w:sz="0" w:space="0" w:color="auto"/>
                    <w:right w:val="none" w:sz="0" w:space="0" w:color="auto"/>
                  </w:divBdr>
                </w:div>
              </w:divsChild>
            </w:div>
            <w:div w:id="1184245716">
              <w:marLeft w:val="0"/>
              <w:marRight w:val="0"/>
              <w:marTop w:val="0"/>
              <w:marBottom w:val="0"/>
              <w:divBdr>
                <w:top w:val="none" w:sz="0" w:space="0" w:color="auto"/>
                <w:left w:val="none" w:sz="0" w:space="0" w:color="auto"/>
                <w:bottom w:val="none" w:sz="0" w:space="0" w:color="auto"/>
                <w:right w:val="none" w:sz="0" w:space="0" w:color="auto"/>
              </w:divBdr>
              <w:divsChild>
                <w:div w:id="159853256">
                  <w:marLeft w:val="0"/>
                  <w:marRight w:val="0"/>
                  <w:marTop w:val="0"/>
                  <w:marBottom w:val="0"/>
                  <w:divBdr>
                    <w:top w:val="none" w:sz="0" w:space="0" w:color="auto"/>
                    <w:left w:val="none" w:sz="0" w:space="0" w:color="auto"/>
                    <w:bottom w:val="none" w:sz="0" w:space="0" w:color="auto"/>
                    <w:right w:val="none" w:sz="0" w:space="0" w:color="auto"/>
                  </w:divBdr>
                </w:div>
              </w:divsChild>
            </w:div>
            <w:div w:id="584265252">
              <w:marLeft w:val="0"/>
              <w:marRight w:val="0"/>
              <w:marTop w:val="0"/>
              <w:marBottom w:val="0"/>
              <w:divBdr>
                <w:top w:val="none" w:sz="0" w:space="0" w:color="auto"/>
                <w:left w:val="none" w:sz="0" w:space="0" w:color="auto"/>
                <w:bottom w:val="none" w:sz="0" w:space="0" w:color="auto"/>
                <w:right w:val="none" w:sz="0" w:space="0" w:color="auto"/>
              </w:divBdr>
              <w:divsChild>
                <w:div w:id="303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6976">
          <w:marLeft w:val="0"/>
          <w:marRight w:val="0"/>
          <w:marTop w:val="0"/>
          <w:marBottom w:val="0"/>
          <w:divBdr>
            <w:top w:val="none" w:sz="0" w:space="0" w:color="auto"/>
            <w:left w:val="none" w:sz="0" w:space="0" w:color="auto"/>
            <w:bottom w:val="none" w:sz="0" w:space="0" w:color="auto"/>
            <w:right w:val="none" w:sz="0" w:space="0" w:color="auto"/>
          </w:divBdr>
          <w:divsChild>
            <w:div w:id="319430163">
              <w:marLeft w:val="0"/>
              <w:marRight w:val="0"/>
              <w:marTop w:val="0"/>
              <w:marBottom w:val="0"/>
              <w:divBdr>
                <w:top w:val="none" w:sz="0" w:space="0" w:color="auto"/>
                <w:left w:val="none" w:sz="0" w:space="0" w:color="auto"/>
                <w:bottom w:val="none" w:sz="0" w:space="0" w:color="auto"/>
                <w:right w:val="none" w:sz="0" w:space="0" w:color="auto"/>
              </w:divBdr>
              <w:divsChild>
                <w:div w:id="6100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7226">
      <w:bodyDiv w:val="1"/>
      <w:marLeft w:val="0"/>
      <w:marRight w:val="0"/>
      <w:marTop w:val="0"/>
      <w:marBottom w:val="0"/>
      <w:divBdr>
        <w:top w:val="none" w:sz="0" w:space="0" w:color="auto"/>
        <w:left w:val="none" w:sz="0" w:space="0" w:color="auto"/>
        <w:bottom w:val="none" w:sz="0" w:space="0" w:color="auto"/>
        <w:right w:val="none" w:sz="0" w:space="0" w:color="auto"/>
      </w:divBdr>
      <w:divsChild>
        <w:div w:id="1547059257">
          <w:marLeft w:val="0"/>
          <w:marRight w:val="0"/>
          <w:marTop w:val="0"/>
          <w:marBottom w:val="0"/>
          <w:divBdr>
            <w:top w:val="none" w:sz="0" w:space="0" w:color="auto"/>
            <w:left w:val="none" w:sz="0" w:space="0" w:color="auto"/>
            <w:bottom w:val="none" w:sz="0" w:space="0" w:color="auto"/>
            <w:right w:val="none" w:sz="0" w:space="0" w:color="auto"/>
          </w:divBdr>
          <w:divsChild>
            <w:div w:id="1788158460">
              <w:marLeft w:val="0"/>
              <w:marRight w:val="0"/>
              <w:marTop w:val="0"/>
              <w:marBottom w:val="0"/>
              <w:divBdr>
                <w:top w:val="none" w:sz="0" w:space="0" w:color="auto"/>
                <w:left w:val="none" w:sz="0" w:space="0" w:color="auto"/>
                <w:bottom w:val="none" w:sz="0" w:space="0" w:color="auto"/>
                <w:right w:val="none" w:sz="0" w:space="0" w:color="auto"/>
              </w:divBdr>
              <w:divsChild>
                <w:div w:id="1218467508">
                  <w:marLeft w:val="0"/>
                  <w:marRight w:val="0"/>
                  <w:marTop w:val="0"/>
                  <w:marBottom w:val="0"/>
                  <w:divBdr>
                    <w:top w:val="none" w:sz="0" w:space="0" w:color="auto"/>
                    <w:left w:val="none" w:sz="0" w:space="0" w:color="auto"/>
                    <w:bottom w:val="none" w:sz="0" w:space="0" w:color="auto"/>
                    <w:right w:val="none" w:sz="0" w:space="0" w:color="auto"/>
                  </w:divBdr>
                  <w:divsChild>
                    <w:div w:id="8596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08460">
      <w:bodyDiv w:val="1"/>
      <w:marLeft w:val="0"/>
      <w:marRight w:val="0"/>
      <w:marTop w:val="0"/>
      <w:marBottom w:val="0"/>
      <w:divBdr>
        <w:top w:val="none" w:sz="0" w:space="0" w:color="auto"/>
        <w:left w:val="none" w:sz="0" w:space="0" w:color="auto"/>
        <w:bottom w:val="none" w:sz="0" w:space="0" w:color="auto"/>
        <w:right w:val="none" w:sz="0" w:space="0" w:color="auto"/>
      </w:divBdr>
      <w:divsChild>
        <w:div w:id="563177158">
          <w:marLeft w:val="0"/>
          <w:marRight w:val="0"/>
          <w:marTop w:val="0"/>
          <w:marBottom w:val="0"/>
          <w:divBdr>
            <w:top w:val="none" w:sz="0" w:space="0" w:color="auto"/>
            <w:left w:val="none" w:sz="0" w:space="0" w:color="auto"/>
            <w:bottom w:val="none" w:sz="0" w:space="0" w:color="auto"/>
            <w:right w:val="none" w:sz="0" w:space="0" w:color="auto"/>
          </w:divBdr>
          <w:divsChild>
            <w:div w:id="79916794">
              <w:marLeft w:val="0"/>
              <w:marRight w:val="0"/>
              <w:marTop w:val="0"/>
              <w:marBottom w:val="0"/>
              <w:divBdr>
                <w:top w:val="none" w:sz="0" w:space="0" w:color="auto"/>
                <w:left w:val="none" w:sz="0" w:space="0" w:color="auto"/>
                <w:bottom w:val="none" w:sz="0" w:space="0" w:color="auto"/>
                <w:right w:val="none" w:sz="0" w:space="0" w:color="auto"/>
              </w:divBdr>
              <w:divsChild>
                <w:div w:id="21105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7360">
      <w:bodyDiv w:val="1"/>
      <w:marLeft w:val="0"/>
      <w:marRight w:val="0"/>
      <w:marTop w:val="0"/>
      <w:marBottom w:val="0"/>
      <w:divBdr>
        <w:top w:val="none" w:sz="0" w:space="0" w:color="auto"/>
        <w:left w:val="none" w:sz="0" w:space="0" w:color="auto"/>
        <w:bottom w:val="none" w:sz="0" w:space="0" w:color="auto"/>
        <w:right w:val="none" w:sz="0" w:space="0" w:color="auto"/>
      </w:divBdr>
      <w:divsChild>
        <w:div w:id="1935553335">
          <w:marLeft w:val="0"/>
          <w:marRight w:val="0"/>
          <w:marTop w:val="0"/>
          <w:marBottom w:val="0"/>
          <w:divBdr>
            <w:top w:val="none" w:sz="0" w:space="0" w:color="auto"/>
            <w:left w:val="none" w:sz="0" w:space="0" w:color="auto"/>
            <w:bottom w:val="none" w:sz="0" w:space="0" w:color="auto"/>
            <w:right w:val="none" w:sz="0" w:space="0" w:color="auto"/>
          </w:divBdr>
          <w:divsChild>
            <w:div w:id="1440879530">
              <w:marLeft w:val="0"/>
              <w:marRight w:val="0"/>
              <w:marTop w:val="0"/>
              <w:marBottom w:val="0"/>
              <w:divBdr>
                <w:top w:val="none" w:sz="0" w:space="0" w:color="auto"/>
                <w:left w:val="none" w:sz="0" w:space="0" w:color="auto"/>
                <w:bottom w:val="none" w:sz="0" w:space="0" w:color="auto"/>
                <w:right w:val="none" w:sz="0" w:space="0" w:color="auto"/>
              </w:divBdr>
              <w:divsChild>
                <w:div w:id="1562911809">
                  <w:marLeft w:val="0"/>
                  <w:marRight w:val="0"/>
                  <w:marTop w:val="0"/>
                  <w:marBottom w:val="0"/>
                  <w:divBdr>
                    <w:top w:val="none" w:sz="0" w:space="0" w:color="auto"/>
                    <w:left w:val="none" w:sz="0" w:space="0" w:color="auto"/>
                    <w:bottom w:val="none" w:sz="0" w:space="0" w:color="auto"/>
                    <w:right w:val="none" w:sz="0" w:space="0" w:color="auto"/>
                  </w:divBdr>
                  <w:divsChild>
                    <w:div w:id="17115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61585">
      <w:bodyDiv w:val="1"/>
      <w:marLeft w:val="0"/>
      <w:marRight w:val="0"/>
      <w:marTop w:val="0"/>
      <w:marBottom w:val="0"/>
      <w:divBdr>
        <w:top w:val="none" w:sz="0" w:space="0" w:color="auto"/>
        <w:left w:val="none" w:sz="0" w:space="0" w:color="auto"/>
        <w:bottom w:val="none" w:sz="0" w:space="0" w:color="auto"/>
        <w:right w:val="none" w:sz="0" w:space="0" w:color="auto"/>
      </w:divBdr>
      <w:divsChild>
        <w:div w:id="8606712">
          <w:marLeft w:val="0"/>
          <w:marRight w:val="0"/>
          <w:marTop w:val="0"/>
          <w:marBottom w:val="0"/>
          <w:divBdr>
            <w:top w:val="none" w:sz="0" w:space="0" w:color="auto"/>
            <w:left w:val="none" w:sz="0" w:space="0" w:color="auto"/>
            <w:bottom w:val="none" w:sz="0" w:space="0" w:color="auto"/>
            <w:right w:val="none" w:sz="0" w:space="0" w:color="auto"/>
          </w:divBdr>
          <w:divsChild>
            <w:div w:id="779835375">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sChild>
                    <w:div w:id="56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2838">
      <w:bodyDiv w:val="1"/>
      <w:marLeft w:val="0"/>
      <w:marRight w:val="0"/>
      <w:marTop w:val="0"/>
      <w:marBottom w:val="0"/>
      <w:divBdr>
        <w:top w:val="none" w:sz="0" w:space="0" w:color="auto"/>
        <w:left w:val="none" w:sz="0" w:space="0" w:color="auto"/>
        <w:bottom w:val="none" w:sz="0" w:space="0" w:color="auto"/>
        <w:right w:val="none" w:sz="0" w:space="0" w:color="auto"/>
      </w:divBdr>
      <w:divsChild>
        <w:div w:id="1087919360">
          <w:marLeft w:val="0"/>
          <w:marRight w:val="0"/>
          <w:marTop w:val="0"/>
          <w:marBottom w:val="0"/>
          <w:divBdr>
            <w:top w:val="none" w:sz="0" w:space="0" w:color="auto"/>
            <w:left w:val="none" w:sz="0" w:space="0" w:color="auto"/>
            <w:bottom w:val="none" w:sz="0" w:space="0" w:color="auto"/>
            <w:right w:val="none" w:sz="0" w:space="0" w:color="auto"/>
          </w:divBdr>
          <w:divsChild>
            <w:div w:id="870146650">
              <w:marLeft w:val="0"/>
              <w:marRight w:val="0"/>
              <w:marTop w:val="0"/>
              <w:marBottom w:val="0"/>
              <w:divBdr>
                <w:top w:val="none" w:sz="0" w:space="0" w:color="auto"/>
                <w:left w:val="none" w:sz="0" w:space="0" w:color="auto"/>
                <w:bottom w:val="none" w:sz="0" w:space="0" w:color="auto"/>
                <w:right w:val="none" w:sz="0" w:space="0" w:color="auto"/>
              </w:divBdr>
              <w:divsChild>
                <w:div w:id="811756613">
                  <w:marLeft w:val="0"/>
                  <w:marRight w:val="0"/>
                  <w:marTop w:val="0"/>
                  <w:marBottom w:val="0"/>
                  <w:divBdr>
                    <w:top w:val="none" w:sz="0" w:space="0" w:color="auto"/>
                    <w:left w:val="none" w:sz="0" w:space="0" w:color="auto"/>
                    <w:bottom w:val="none" w:sz="0" w:space="0" w:color="auto"/>
                    <w:right w:val="none" w:sz="0" w:space="0" w:color="auto"/>
                  </w:divBdr>
                  <w:divsChild>
                    <w:div w:id="1517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3863">
      <w:bodyDiv w:val="1"/>
      <w:marLeft w:val="0"/>
      <w:marRight w:val="0"/>
      <w:marTop w:val="0"/>
      <w:marBottom w:val="0"/>
      <w:divBdr>
        <w:top w:val="none" w:sz="0" w:space="0" w:color="auto"/>
        <w:left w:val="none" w:sz="0" w:space="0" w:color="auto"/>
        <w:bottom w:val="none" w:sz="0" w:space="0" w:color="auto"/>
        <w:right w:val="none" w:sz="0" w:space="0" w:color="auto"/>
      </w:divBdr>
      <w:divsChild>
        <w:div w:id="275984903">
          <w:marLeft w:val="0"/>
          <w:marRight w:val="0"/>
          <w:marTop w:val="0"/>
          <w:marBottom w:val="0"/>
          <w:divBdr>
            <w:top w:val="none" w:sz="0" w:space="0" w:color="auto"/>
            <w:left w:val="none" w:sz="0" w:space="0" w:color="auto"/>
            <w:bottom w:val="none" w:sz="0" w:space="0" w:color="auto"/>
            <w:right w:val="none" w:sz="0" w:space="0" w:color="auto"/>
          </w:divBdr>
          <w:divsChild>
            <w:div w:id="1184783403">
              <w:marLeft w:val="0"/>
              <w:marRight w:val="0"/>
              <w:marTop w:val="0"/>
              <w:marBottom w:val="0"/>
              <w:divBdr>
                <w:top w:val="none" w:sz="0" w:space="0" w:color="auto"/>
                <w:left w:val="none" w:sz="0" w:space="0" w:color="auto"/>
                <w:bottom w:val="none" w:sz="0" w:space="0" w:color="auto"/>
                <w:right w:val="none" w:sz="0" w:space="0" w:color="auto"/>
              </w:divBdr>
              <w:divsChild>
                <w:div w:id="1026714206">
                  <w:marLeft w:val="0"/>
                  <w:marRight w:val="0"/>
                  <w:marTop w:val="0"/>
                  <w:marBottom w:val="0"/>
                  <w:divBdr>
                    <w:top w:val="none" w:sz="0" w:space="0" w:color="auto"/>
                    <w:left w:val="none" w:sz="0" w:space="0" w:color="auto"/>
                    <w:bottom w:val="none" w:sz="0" w:space="0" w:color="auto"/>
                    <w:right w:val="none" w:sz="0" w:space="0" w:color="auto"/>
                  </w:divBdr>
                </w:div>
              </w:divsChild>
            </w:div>
            <w:div w:id="695428544">
              <w:marLeft w:val="0"/>
              <w:marRight w:val="0"/>
              <w:marTop w:val="0"/>
              <w:marBottom w:val="0"/>
              <w:divBdr>
                <w:top w:val="none" w:sz="0" w:space="0" w:color="auto"/>
                <w:left w:val="none" w:sz="0" w:space="0" w:color="auto"/>
                <w:bottom w:val="none" w:sz="0" w:space="0" w:color="auto"/>
                <w:right w:val="none" w:sz="0" w:space="0" w:color="auto"/>
              </w:divBdr>
              <w:divsChild>
                <w:div w:id="1139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3096">
          <w:marLeft w:val="0"/>
          <w:marRight w:val="0"/>
          <w:marTop w:val="0"/>
          <w:marBottom w:val="0"/>
          <w:divBdr>
            <w:top w:val="none" w:sz="0" w:space="0" w:color="auto"/>
            <w:left w:val="none" w:sz="0" w:space="0" w:color="auto"/>
            <w:bottom w:val="none" w:sz="0" w:space="0" w:color="auto"/>
            <w:right w:val="none" w:sz="0" w:space="0" w:color="auto"/>
          </w:divBdr>
          <w:divsChild>
            <w:div w:id="580061117">
              <w:marLeft w:val="0"/>
              <w:marRight w:val="0"/>
              <w:marTop w:val="0"/>
              <w:marBottom w:val="0"/>
              <w:divBdr>
                <w:top w:val="none" w:sz="0" w:space="0" w:color="auto"/>
                <w:left w:val="none" w:sz="0" w:space="0" w:color="auto"/>
                <w:bottom w:val="none" w:sz="0" w:space="0" w:color="auto"/>
                <w:right w:val="none" w:sz="0" w:space="0" w:color="auto"/>
              </w:divBdr>
              <w:divsChild>
                <w:div w:id="13228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C2F1-7752-43B4-B5B0-9A18F810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Moray Nichol</cp:lastModifiedBy>
  <cp:revision>25</cp:revision>
  <dcterms:created xsi:type="dcterms:W3CDTF">2021-04-27T14:52:00Z</dcterms:created>
  <dcterms:modified xsi:type="dcterms:W3CDTF">2022-08-18T09:24:00Z</dcterms:modified>
</cp:coreProperties>
</file>