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C87C" w14:textId="3EE58186" w:rsidR="00A862A4" w:rsidRPr="004375F5" w:rsidRDefault="14D301C9" w:rsidP="004375F5">
      <w:pPr>
        <w:spacing w:after="0"/>
        <w:contextualSpacing/>
        <w:jc w:val="right"/>
        <w:rPr>
          <w:rFonts w:ascii="Arial" w:hAnsi="Arial" w:cs="Arial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610A555" wp14:editId="39E897D6">
            <wp:extent cx="2156460" cy="822960"/>
            <wp:effectExtent l="0" t="0" r="0" b="0"/>
            <wp:docPr id="1" name="Picture 1" descr="UoS-LOGO-PMS-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 b="2093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40C6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>UNIVERSITY COURT</w:t>
      </w:r>
    </w:p>
    <w:p w14:paraId="467CABFE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37DF14BA" w14:textId="4E85998E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  <w:b/>
        </w:rPr>
      </w:pPr>
      <w:r w:rsidRPr="00C63760">
        <w:rPr>
          <w:rFonts w:asciiTheme="minorHAnsi" w:hAnsiTheme="minorHAnsi" w:cs="Calibri"/>
          <w:b/>
        </w:rPr>
        <w:t xml:space="preserve">Minutes of the meeting held on </w:t>
      </w:r>
      <w:r w:rsidR="001D79C5">
        <w:rPr>
          <w:rFonts w:asciiTheme="minorHAnsi" w:hAnsiTheme="minorHAnsi" w:cs="Calibri"/>
          <w:b/>
        </w:rPr>
        <w:t xml:space="preserve">20 September </w:t>
      </w:r>
      <w:r>
        <w:rPr>
          <w:rFonts w:asciiTheme="minorHAnsi" w:hAnsiTheme="minorHAnsi" w:cs="Calibri"/>
          <w:b/>
        </w:rPr>
        <w:t>202</w:t>
      </w:r>
      <w:r w:rsidR="00586D78">
        <w:rPr>
          <w:rFonts w:asciiTheme="minorHAnsi" w:hAnsiTheme="minorHAnsi" w:cs="Calibri"/>
          <w:b/>
        </w:rPr>
        <w:t>1</w:t>
      </w:r>
    </w:p>
    <w:p w14:paraId="042AFB2A" w14:textId="77777777" w:rsidR="00840015" w:rsidRPr="00C63760" w:rsidRDefault="00840015" w:rsidP="0084001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7FF23AB1" w14:textId="6A850C3D" w:rsidR="00840015" w:rsidRPr="005D036F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5D036F">
        <w:rPr>
          <w:rFonts w:asciiTheme="minorHAnsi" w:hAnsiTheme="minorHAnsi" w:cs="Calibri"/>
          <w:b/>
        </w:rPr>
        <w:t>Present:</w:t>
      </w:r>
      <w:r w:rsidRPr="005D036F">
        <w:rPr>
          <w:rFonts w:asciiTheme="minorHAnsi" w:hAnsiTheme="minorHAnsi" w:cs="Calibri"/>
        </w:rPr>
        <w:tab/>
        <w:t xml:space="preserve">Mr H Adam (Chair), </w:t>
      </w:r>
      <w:r w:rsidR="00586D78" w:rsidRPr="005D036F">
        <w:rPr>
          <w:rFonts w:asciiTheme="minorHAnsi" w:hAnsiTheme="minorHAnsi" w:cs="Calibri"/>
        </w:rPr>
        <w:t xml:space="preserve">Ms M Allison, </w:t>
      </w:r>
      <w:r w:rsidR="000B6C03" w:rsidRPr="005D036F">
        <w:rPr>
          <w:rFonts w:asciiTheme="minorHAnsi" w:hAnsiTheme="minorHAnsi" w:cs="Calibri"/>
        </w:rPr>
        <w:t xml:space="preserve">Ms </w:t>
      </w:r>
      <w:r w:rsidR="000B6C03" w:rsidRPr="005D036F">
        <w:rPr>
          <w:rFonts w:asciiTheme="minorHAnsi" w:hAnsiTheme="minorHAnsi" w:cs="Calibri"/>
          <w:bCs/>
        </w:rPr>
        <w:t xml:space="preserve">N </w:t>
      </w:r>
      <w:proofErr w:type="spellStart"/>
      <w:r w:rsidR="000B6C03" w:rsidRPr="005D036F">
        <w:rPr>
          <w:rFonts w:asciiTheme="minorHAnsi" w:hAnsiTheme="minorHAnsi" w:cs="Calibri"/>
          <w:bCs/>
        </w:rPr>
        <w:t>Cadinanos</w:t>
      </w:r>
      <w:proofErr w:type="spellEnd"/>
      <w:r w:rsidR="000B6C03" w:rsidRPr="005D036F">
        <w:rPr>
          <w:rFonts w:asciiTheme="minorHAnsi" w:hAnsiTheme="minorHAnsi" w:cs="Calibri"/>
          <w:bCs/>
        </w:rPr>
        <w:t xml:space="preserve"> Gonzalez, </w:t>
      </w:r>
      <w:r w:rsidR="003553FD" w:rsidRPr="005D036F">
        <w:rPr>
          <w:rFonts w:asciiTheme="minorHAnsi" w:hAnsiTheme="minorHAnsi" w:cs="Calibri"/>
        </w:rPr>
        <w:t xml:space="preserve">Dr P Cowell, Ms P Crawford, </w:t>
      </w:r>
      <w:r w:rsidRPr="005D036F">
        <w:rPr>
          <w:rFonts w:asciiTheme="minorHAnsi" w:hAnsiTheme="minorHAnsi" w:cs="Calibri"/>
        </w:rPr>
        <w:t xml:space="preserve">Prof J Donaldson, Mr K Fraser, </w:t>
      </w:r>
      <w:r w:rsidR="003553FD" w:rsidRPr="005D036F">
        <w:rPr>
          <w:rFonts w:asciiTheme="minorHAnsi" w:hAnsiTheme="minorHAnsi" w:cs="Calibri"/>
        </w:rPr>
        <w:t xml:space="preserve">Ms S Gordon, Prof P Hancock, </w:t>
      </w:r>
      <w:r w:rsidRPr="005D036F">
        <w:rPr>
          <w:rFonts w:asciiTheme="minorHAnsi" w:hAnsiTheme="minorHAnsi" w:cs="Calibri"/>
        </w:rPr>
        <w:t xml:space="preserve">Mr G Hastie, Mr D Kearney, </w:t>
      </w:r>
      <w:r w:rsidR="001D79C5" w:rsidRPr="005D036F">
        <w:rPr>
          <w:rFonts w:asciiTheme="minorHAnsi" w:hAnsiTheme="minorHAnsi" w:cs="Calibri"/>
        </w:rPr>
        <w:t xml:space="preserve">Ms </w:t>
      </w:r>
      <w:r w:rsidR="001D79C5" w:rsidRPr="005D036F">
        <w:rPr>
          <w:rFonts w:asciiTheme="minorHAnsi" w:hAnsiTheme="minorHAnsi" w:cs="Calibri"/>
          <w:bCs/>
        </w:rPr>
        <w:t>A MacKay</w:t>
      </w:r>
      <w:r w:rsidR="001D79C5">
        <w:rPr>
          <w:rFonts w:asciiTheme="minorHAnsi" w:hAnsiTheme="minorHAnsi" w:cs="Calibri"/>
        </w:rPr>
        <w:t xml:space="preserve">, </w:t>
      </w:r>
      <w:r w:rsidR="001D79C5" w:rsidRPr="000B6C03">
        <w:rPr>
          <w:rFonts w:asciiTheme="minorHAnsi" w:hAnsiTheme="minorHAnsi" w:cs="Calibri"/>
        </w:rPr>
        <w:t>Mr G MacLeod</w:t>
      </w:r>
      <w:r w:rsidR="001D79C5">
        <w:rPr>
          <w:rFonts w:asciiTheme="minorHAnsi" w:hAnsiTheme="minorHAnsi" w:cs="Calibri"/>
        </w:rPr>
        <w:t xml:space="preserve">, </w:t>
      </w:r>
      <w:r w:rsidR="001D79C5" w:rsidRPr="005D036F">
        <w:rPr>
          <w:rFonts w:asciiTheme="minorHAnsi" w:hAnsiTheme="minorHAnsi" w:cs="Calibri"/>
        </w:rPr>
        <w:t>Prof M MacLeod</w:t>
      </w:r>
      <w:r w:rsidR="001D79C5">
        <w:rPr>
          <w:rFonts w:asciiTheme="minorHAnsi" w:hAnsiTheme="minorHAnsi" w:cs="Calibri"/>
        </w:rPr>
        <w:t xml:space="preserve">, </w:t>
      </w:r>
      <w:r w:rsidRPr="005D036F">
        <w:rPr>
          <w:rFonts w:asciiTheme="minorHAnsi" w:hAnsiTheme="minorHAnsi" w:cs="Calibri"/>
        </w:rPr>
        <w:t xml:space="preserve">Prof G </w:t>
      </w:r>
      <w:proofErr w:type="spellStart"/>
      <w:r w:rsidRPr="005D036F">
        <w:rPr>
          <w:rFonts w:asciiTheme="minorHAnsi" w:hAnsiTheme="minorHAnsi" w:cs="Calibri"/>
        </w:rPr>
        <w:t>McCormac</w:t>
      </w:r>
      <w:proofErr w:type="spellEnd"/>
      <w:r w:rsidRPr="005D036F">
        <w:rPr>
          <w:rFonts w:asciiTheme="minorHAnsi" w:hAnsiTheme="minorHAnsi" w:cs="Calibri"/>
        </w:rPr>
        <w:t xml:space="preserve">, Ms B </w:t>
      </w:r>
      <w:proofErr w:type="spellStart"/>
      <w:r w:rsidRPr="005D036F">
        <w:rPr>
          <w:rFonts w:asciiTheme="minorHAnsi" w:hAnsiTheme="minorHAnsi" w:cs="Calibri"/>
        </w:rPr>
        <w:t>McKissack</w:t>
      </w:r>
      <w:proofErr w:type="spellEnd"/>
      <w:r w:rsidRPr="005D036F">
        <w:rPr>
          <w:rFonts w:asciiTheme="minorHAnsi" w:hAnsiTheme="minorHAnsi" w:cs="Calibri"/>
        </w:rPr>
        <w:t xml:space="preserve">, Ms C Morrison, </w:t>
      </w:r>
      <w:r w:rsidR="001D79C5" w:rsidRPr="000B6C03">
        <w:rPr>
          <w:rFonts w:asciiTheme="minorHAnsi" w:hAnsiTheme="minorHAnsi" w:cs="Calibri"/>
        </w:rPr>
        <w:t xml:space="preserve">Prof H </w:t>
      </w:r>
      <w:proofErr w:type="spellStart"/>
      <w:r w:rsidR="001D79C5" w:rsidRPr="000B6C03">
        <w:rPr>
          <w:rFonts w:asciiTheme="minorHAnsi" w:hAnsiTheme="minorHAnsi" w:cs="Calibri"/>
        </w:rPr>
        <w:t>Nehring</w:t>
      </w:r>
      <w:proofErr w:type="spellEnd"/>
      <w:r w:rsidR="001D79C5">
        <w:rPr>
          <w:rFonts w:asciiTheme="minorHAnsi" w:hAnsiTheme="minorHAnsi" w:cs="Calibri"/>
        </w:rPr>
        <w:t xml:space="preserve">, </w:t>
      </w:r>
      <w:r w:rsidRPr="005D036F">
        <w:rPr>
          <w:rFonts w:asciiTheme="minorHAnsi" w:hAnsiTheme="minorHAnsi" w:cs="Calibri"/>
        </w:rPr>
        <w:t>Rev M Roderick</w:t>
      </w:r>
      <w:r w:rsidR="005D036F" w:rsidRPr="005D036F">
        <w:rPr>
          <w:rFonts w:asciiTheme="minorHAnsi" w:hAnsiTheme="minorHAnsi" w:cs="Calibri"/>
        </w:rPr>
        <w:t xml:space="preserve"> and </w:t>
      </w:r>
      <w:r w:rsidRPr="005D036F">
        <w:rPr>
          <w:rFonts w:asciiTheme="minorHAnsi" w:hAnsiTheme="minorHAnsi" w:cs="Calibri"/>
        </w:rPr>
        <w:t>Councillor C Simpson</w:t>
      </w:r>
      <w:r w:rsidR="003553FD" w:rsidRPr="005D036F">
        <w:rPr>
          <w:rFonts w:asciiTheme="minorHAnsi" w:hAnsiTheme="minorHAnsi" w:cs="Calibri"/>
        </w:rPr>
        <w:t xml:space="preserve">. </w:t>
      </w:r>
      <w:r w:rsidRPr="005D036F">
        <w:rPr>
          <w:rFonts w:asciiTheme="minorHAnsi" w:hAnsiTheme="minorHAnsi" w:cs="Calibri"/>
        </w:rPr>
        <w:t xml:space="preserve"> </w:t>
      </w:r>
    </w:p>
    <w:p w14:paraId="0AC2A099" w14:textId="77777777" w:rsidR="00840015" w:rsidRPr="005D036F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5D036F">
        <w:rPr>
          <w:rFonts w:asciiTheme="minorHAnsi" w:hAnsiTheme="minorHAnsi" w:cs="Calibri"/>
        </w:rPr>
        <w:tab/>
      </w:r>
    </w:p>
    <w:p w14:paraId="6797D0A4" w14:textId="7E482AD3" w:rsidR="00840015" w:rsidRPr="000B6C03" w:rsidRDefault="00840015" w:rsidP="00840015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  <w:color w:val="000000" w:themeColor="text1"/>
          <w:highlight w:val="yellow"/>
        </w:rPr>
      </w:pPr>
      <w:r w:rsidRPr="005D036F">
        <w:rPr>
          <w:rFonts w:asciiTheme="minorHAnsi" w:hAnsiTheme="minorHAnsi" w:cs="Calibri"/>
          <w:b/>
        </w:rPr>
        <w:t>In Attendance:</w:t>
      </w:r>
      <w:r w:rsidRPr="005D036F">
        <w:rPr>
          <w:rFonts w:asciiTheme="minorHAnsi" w:hAnsiTheme="minorHAnsi" w:cs="Calibri"/>
        </w:rPr>
        <w:tab/>
      </w:r>
      <w:r w:rsidR="003553FD" w:rsidRPr="005D036F">
        <w:rPr>
          <w:rFonts w:asciiTheme="minorHAnsi" w:hAnsiTheme="minorHAnsi" w:cs="Calibri"/>
        </w:rPr>
        <w:t xml:space="preserve">Mr G Duff, </w:t>
      </w:r>
      <w:r w:rsidRPr="005D036F">
        <w:rPr>
          <w:rFonts w:asciiTheme="minorHAnsi" w:hAnsiTheme="minorHAnsi" w:cs="Calibri"/>
        </w:rPr>
        <w:t xml:space="preserve">Ms C Gallagher, Ms J Harrison, </w:t>
      </w:r>
      <w:r w:rsidR="001D79C5">
        <w:rPr>
          <w:rFonts w:asciiTheme="minorHAnsi" w:hAnsiTheme="minorHAnsi" w:cs="Calibri"/>
        </w:rPr>
        <w:t xml:space="preserve">Ms K Lawson, </w:t>
      </w:r>
      <w:r w:rsidRPr="005D036F">
        <w:rPr>
          <w:rFonts w:asciiTheme="minorHAnsi" w:hAnsiTheme="minorHAnsi" w:cs="Calibri"/>
        </w:rPr>
        <w:t>Mr L McCabe, Mr C</w:t>
      </w:r>
      <w:r w:rsidRPr="000B6C03">
        <w:rPr>
          <w:rFonts w:asciiTheme="minorHAnsi" w:hAnsiTheme="minorHAnsi" w:cs="Calibri"/>
        </w:rPr>
        <w:t xml:space="preserve"> McNally, Ms J Morrow, Prof J Phillips, Dr J Rogers, Ms E Schofield, Prof L Sparks, Mr L Spillane</w:t>
      </w:r>
      <w:r w:rsidR="00F72FE2" w:rsidRPr="000B6C03">
        <w:rPr>
          <w:rFonts w:asciiTheme="minorHAnsi" w:hAnsiTheme="minorHAnsi" w:cs="Calibri"/>
        </w:rPr>
        <w:t>, Dr David Telford</w:t>
      </w:r>
      <w:r w:rsidR="00E953D3" w:rsidRPr="000B6C03">
        <w:rPr>
          <w:rFonts w:asciiTheme="minorHAnsi" w:hAnsiTheme="minorHAnsi" w:cs="Calibri"/>
        </w:rPr>
        <w:t>, Mr</w:t>
      </w:r>
      <w:r w:rsidRPr="000B6C03">
        <w:rPr>
          <w:rFonts w:asciiTheme="minorHAnsi" w:hAnsiTheme="minorHAnsi" w:cs="Calibri"/>
        </w:rPr>
        <w:t xml:space="preserve"> M Nichol (Clerk), Prof N Wylie</w:t>
      </w:r>
      <w:r w:rsidR="001D79C5">
        <w:rPr>
          <w:rFonts w:asciiTheme="minorHAnsi" w:hAnsiTheme="minorHAnsi" w:cs="Calibri"/>
        </w:rPr>
        <w:t xml:space="preserve"> and </w:t>
      </w:r>
      <w:r w:rsidR="004375F5" w:rsidRPr="000B6C03">
        <w:rPr>
          <w:rFonts w:asciiTheme="minorHAnsi" w:hAnsiTheme="minorHAnsi" w:cs="Calibri"/>
        </w:rPr>
        <w:t xml:space="preserve"> </w:t>
      </w:r>
      <w:r w:rsidRPr="000B6C03">
        <w:rPr>
          <w:rFonts w:asciiTheme="minorHAnsi" w:hAnsiTheme="minorHAnsi" w:cs="Calibri"/>
        </w:rPr>
        <w:t xml:space="preserve">Dr </w:t>
      </w:r>
      <w:r w:rsidRPr="000B6C03">
        <w:rPr>
          <w:rFonts w:asciiTheme="minorHAnsi" w:hAnsiTheme="minorHAnsi" w:cs="Calibri"/>
          <w:color w:val="000000" w:themeColor="text1"/>
        </w:rPr>
        <w:t>L Zhuang</w:t>
      </w:r>
      <w:r w:rsidR="001D79C5">
        <w:rPr>
          <w:rFonts w:asciiTheme="minorHAnsi" w:hAnsiTheme="minorHAnsi" w:cs="Calibri"/>
          <w:color w:val="000000" w:themeColor="text1"/>
        </w:rPr>
        <w:t>.</w:t>
      </w:r>
      <w:r w:rsidR="004375F5" w:rsidRPr="000B6C03">
        <w:rPr>
          <w:rFonts w:asciiTheme="minorHAnsi" w:hAnsiTheme="minorHAnsi" w:cs="Calibri"/>
          <w:color w:val="000000" w:themeColor="text1"/>
        </w:rPr>
        <w:t xml:space="preserve"> </w:t>
      </w:r>
    </w:p>
    <w:p w14:paraId="462C1339" w14:textId="77777777" w:rsidR="00840015" w:rsidRPr="000B6C03" w:rsidRDefault="00840015" w:rsidP="00840015">
      <w:pPr>
        <w:spacing w:after="0" w:line="240" w:lineRule="auto"/>
        <w:contextualSpacing/>
        <w:rPr>
          <w:rFonts w:asciiTheme="minorHAnsi" w:hAnsiTheme="minorHAnsi" w:cs="Calibri"/>
          <w:highlight w:val="yellow"/>
        </w:rPr>
      </w:pPr>
    </w:p>
    <w:p w14:paraId="23EA3DE9" w14:textId="5A46288D" w:rsidR="00840015" w:rsidRPr="000B6C03" w:rsidRDefault="00840015" w:rsidP="00F72FE2">
      <w:pPr>
        <w:spacing w:after="0" w:line="240" w:lineRule="auto"/>
        <w:ind w:left="2127" w:hanging="2127"/>
        <w:contextualSpacing/>
        <w:jc w:val="both"/>
        <w:rPr>
          <w:rFonts w:asciiTheme="minorHAnsi" w:hAnsiTheme="minorHAnsi" w:cs="Calibri"/>
        </w:rPr>
      </w:pPr>
      <w:r w:rsidRPr="000B6C03">
        <w:rPr>
          <w:rFonts w:asciiTheme="minorHAnsi" w:hAnsiTheme="minorHAnsi" w:cs="Calibri"/>
          <w:b/>
        </w:rPr>
        <w:t>Apologies:</w:t>
      </w:r>
      <w:r w:rsidRPr="000B6C03">
        <w:rPr>
          <w:rFonts w:asciiTheme="minorHAnsi" w:hAnsiTheme="minorHAnsi" w:cs="Calibri"/>
          <w:b/>
        </w:rPr>
        <w:tab/>
      </w:r>
      <w:r w:rsidR="000B6C03" w:rsidRPr="000B6C03">
        <w:rPr>
          <w:rFonts w:asciiTheme="minorHAnsi" w:hAnsiTheme="minorHAnsi" w:cs="Calibri"/>
          <w:bCs/>
        </w:rPr>
        <w:t>Apologies for absence were received from</w:t>
      </w:r>
      <w:r w:rsidR="000B6C03" w:rsidRPr="000B6C03">
        <w:rPr>
          <w:rFonts w:asciiTheme="minorHAnsi" w:hAnsiTheme="minorHAnsi" w:cs="Calibri"/>
          <w:b/>
        </w:rPr>
        <w:t xml:space="preserve"> </w:t>
      </w:r>
      <w:r w:rsidR="001D79C5" w:rsidRPr="005D036F">
        <w:rPr>
          <w:rFonts w:asciiTheme="minorHAnsi" w:hAnsiTheme="minorHAnsi" w:cs="Calibri"/>
        </w:rPr>
        <w:t>Dr R</w:t>
      </w:r>
      <w:r w:rsidR="001D79C5">
        <w:rPr>
          <w:rFonts w:asciiTheme="minorHAnsi" w:hAnsiTheme="minorHAnsi" w:cs="Calibri"/>
        </w:rPr>
        <w:t xml:space="preserve"> </w:t>
      </w:r>
      <w:r w:rsidR="001D79C5" w:rsidRPr="005D036F">
        <w:rPr>
          <w:rFonts w:asciiTheme="minorHAnsi" w:hAnsiTheme="minorHAnsi" w:cs="Calibri"/>
        </w:rPr>
        <w:t>Black</w:t>
      </w:r>
      <w:r w:rsidR="001D79C5">
        <w:rPr>
          <w:rFonts w:asciiTheme="minorHAnsi" w:hAnsiTheme="minorHAnsi" w:cs="Calibri"/>
        </w:rPr>
        <w:t xml:space="preserve"> </w:t>
      </w:r>
      <w:r w:rsidR="000B6C03">
        <w:rPr>
          <w:rFonts w:asciiTheme="minorHAnsi" w:hAnsiTheme="minorHAnsi" w:cs="Calibri"/>
        </w:rPr>
        <w:t xml:space="preserve">and </w:t>
      </w:r>
      <w:r w:rsidR="001D79C5" w:rsidRPr="005D036F">
        <w:rPr>
          <w:rFonts w:asciiTheme="minorHAnsi" w:hAnsiTheme="minorHAnsi" w:cs="Calibri"/>
        </w:rPr>
        <w:t xml:space="preserve">Mr H </w:t>
      </w:r>
      <w:proofErr w:type="spellStart"/>
      <w:r w:rsidR="001D79C5" w:rsidRPr="005D036F">
        <w:rPr>
          <w:rFonts w:asciiTheme="minorHAnsi" w:hAnsiTheme="minorHAnsi" w:cs="Calibri"/>
        </w:rPr>
        <w:t>Grossart</w:t>
      </w:r>
      <w:proofErr w:type="spellEnd"/>
      <w:r w:rsidR="001D79C5">
        <w:rPr>
          <w:rFonts w:asciiTheme="minorHAnsi" w:hAnsiTheme="minorHAnsi" w:cs="Calibri"/>
        </w:rPr>
        <w:t>.</w:t>
      </w:r>
    </w:p>
    <w:p w14:paraId="6C55E311" w14:textId="5BD8354C" w:rsidR="00840015" w:rsidRDefault="00840015" w:rsidP="00840015">
      <w:pPr>
        <w:spacing w:after="0" w:line="240" w:lineRule="auto"/>
        <w:contextualSpacing/>
        <w:jc w:val="both"/>
        <w:rPr>
          <w:rFonts w:asciiTheme="minorHAnsi" w:hAnsiTheme="minorHAnsi" w:cs="Calibri"/>
          <w:highlight w:val="yellow"/>
        </w:rPr>
      </w:pPr>
    </w:p>
    <w:p w14:paraId="01FB6D52" w14:textId="77777777" w:rsidR="001D79C5" w:rsidRPr="00EA1457" w:rsidRDefault="001D79C5" w:rsidP="001D79C5">
      <w:pPr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259D9BE3" w14:textId="77777777" w:rsidR="001D79C5" w:rsidRPr="0070080B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70080B">
        <w:rPr>
          <w:rFonts w:asciiTheme="minorHAnsi" w:hAnsiTheme="minorHAnsi" w:cs="Calibri"/>
          <w:b/>
        </w:rPr>
        <w:t>1.</w:t>
      </w:r>
      <w:r w:rsidRPr="0070080B">
        <w:rPr>
          <w:rFonts w:asciiTheme="minorHAnsi" w:hAnsiTheme="minorHAnsi" w:cs="Calibri"/>
          <w:b/>
        </w:rPr>
        <w:tab/>
        <w:t>DECLARATIONS OF INTEREST</w:t>
      </w:r>
      <w:r w:rsidRPr="0070080B">
        <w:rPr>
          <w:rFonts w:asciiTheme="minorHAnsi" w:hAnsiTheme="minorHAnsi" w:cs="Calibri"/>
          <w:b/>
        </w:rPr>
        <w:tab/>
      </w:r>
    </w:p>
    <w:p w14:paraId="2A7216AE" w14:textId="77777777" w:rsidR="001D79C5" w:rsidRPr="0070080B" w:rsidRDefault="001D79C5" w:rsidP="001D79C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70080B">
        <w:rPr>
          <w:rFonts w:asciiTheme="minorHAnsi" w:hAnsiTheme="minorHAnsi" w:cs="Calibri"/>
        </w:rPr>
        <w:t xml:space="preserve">There were no declarations of interest. </w:t>
      </w:r>
    </w:p>
    <w:p w14:paraId="4094F183" w14:textId="77777777" w:rsidR="001D79C5" w:rsidRPr="00F86BDD" w:rsidRDefault="001D79C5" w:rsidP="001D79C5">
      <w:pPr>
        <w:spacing w:after="0" w:line="240" w:lineRule="auto"/>
        <w:ind w:left="709" w:hanging="1060"/>
        <w:contextualSpacing/>
        <w:jc w:val="both"/>
        <w:rPr>
          <w:rFonts w:asciiTheme="minorHAnsi" w:hAnsiTheme="minorHAnsi" w:cs="Calibri"/>
          <w:b/>
        </w:rPr>
      </w:pPr>
    </w:p>
    <w:p w14:paraId="2D01FE2A" w14:textId="77777777" w:rsidR="001D79C5" w:rsidRPr="00F86BDD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2.</w:t>
      </w:r>
      <w:r w:rsidRPr="00F86BDD">
        <w:rPr>
          <w:rFonts w:asciiTheme="minorHAnsi" w:hAnsiTheme="minorHAnsi" w:cs="Calibri"/>
          <w:b/>
        </w:rPr>
        <w:tab/>
        <w:t>MINUTES</w:t>
      </w:r>
      <w:r w:rsidRPr="00F86BDD">
        <w:rPr>
          <w:rFonts w:asciiTheme="minorHAnsi" w:hAnsiTheme="minorHAnsi" w:cs="Calibri"/>
          <w:b/>
        </w:rPr>
        <w:tab/>
      </w:r>
      <w:proofErr w:type="gramStart"/>
      <w:r w:rsidRPr="00F86BDD">
        <w:rPr>
          <w:rFonts w:asciiTheme="minorHAnsi" w:hAnsiTheme="minorHAnsi" w:cs="Calibri"/>
          <w:b/>
        </w:rPr>
        <w:t>UC(</w:t>
      </w:r>
      <w:proofErr w:type="gramEnd"/>
      <w:r w:rsidRPr="00F86BDD">
        <w:rPr>
          <w:rFonts w:asciiTheme="minorHAnsi" w:hAnsiTheme="minorHAnsi" w:cs="Calibri"/>
          <w:b/>
        </w:rPr>
        <w:t xml:space="preserve">20/21) Minutes </w:t>
      </w:r>
      <w:r>
        <w:rPr>
          <w:rFonts w:asciiTheme="minorHAnsi" w:hAnsiTheme="minorHAnsi" w:cs="Calibri"/>
          <w:b/>
        </w:rPr>
        <w:t>4</w:t>
      </w:r>
    </w:p>
    <w:p w14:paraId="4080675A" w14:textId="439BCE5A" w:rsidR="001D79C5" w:rsidRPr="00F86BDD" w:rsidRDefault="001D79C5" w:rsidP="001D79C5">
      <w:pPr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Court </w:t>
      </w:r>
      <w:r w:rsidRPr="00F86BDD">
        <w:rPr>
          <w:rFonts w:asciiTheme="minorHAnsi" w:hAnsiTheme="minorHAnsi" w:cs="Calibri"/>
          <w:u w:val="single"/>
        </w:rPr>
        <w:t>approve</w:t>
      </w:r>
      <w:r>
        <w:rPr>
          <w:rFonts w:asciiTheme="minorHAnsi" w:hAnsiTheme="minorHAnsi" w:cs="Calibri"/>
          <w:u w:val="single"/>
        </w:rPr>
        <w:t>d</w:t>
      </w:r>
      <w:r w:rsidRPr="00F86BDD">
        <w:rPr>
          <w:rFonts w:asciiTheme="minorHAnsi" w:hAnsiTheme="minorHAnsi" w:cs="Calibri"/>
        </w:rPr>
        <w:t xml:space="preserve"> the minutes of the meeting held on </w:t>
      </w:r>
      <w:r>
        <w:rPr>
          <w:rFonts w:asciiTheme="minorHAnsi" w:hAnsiTheme="minorHAnsi" w:cs="Calibri"/>
        </w:rPr>
        <w:t>14 June 2021</w:t>
      </w:r>
    </w:p>
    <w:p w14:paraId="1909B639" w14:textId="77777777" w:rsidR="001D79C5" w:rsidRPr="00F86BDD" w:rsidRDefault="001D79C5" w:rsidP="001D79C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24A069F9" w14:textId="77777777" w:rsidR="001D79C5" w:rsidRPr="00F86BDD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3.</w:t>
      </w:r>
      <w:r w:rsidRPr="00F86BDD">
        <w:rPr>
          <w:rFonts w:asciiTheme="minorHAnsi" w:hAnsiTheme="minorHAnsi" w:cs="Calibri"/>
          <w:b/>
        </w:rPr>
        <w:tab/>
        <w:t>MATTERS ARISING NOT OTHERWISE ON THE AGENDA</w:t>
      </w:r>
    </w:p>
    <w:p w14:paraId="390E30F3" w14:textId="64267357" w:rsidR="001D79C5" w:rsidRPr="009F1208" w:rsidRDefault="001D79C5" w:rsidP="001D79C5">
      <w:pPr>
        <w:pStyle w:val="ListParagraph"/>
        <w:tabs>
          <w:tab w:val="left" w:pos="709"/>
          <w:tab w:val="right" w:pos="9072"/>
        </w:tabs>
        <w:spacing w:after="0" w:line="240" w:lineRule="auto"/>
        <w:ind w:left="709" w:hanging="720"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</w:rPr>
        <w:tab/>
      </w:r>
      <w:r w:rsidR="00C11869">
        <w:rPr>
          <w:rFonts w:asciiTheme="minorHAnsi" w:hAnsiTheme="minorHAnsi" w:cs="Calibri"/>
        </w:rPr>
        <w:t xml:space="preserve">There were no </w:t>
      </w:r>
      <w:r w:rsidRPr="009F1208">
        <w:rPr>
          <w:rFonts w:eastAsia="Times New Roman"/>
          <w:lang w:eastAsia="en-GB"/>
        </w:rPr>
        <w:t>matters arising as actions ha</w:t>
      </w:r>
      <w:r w:rsidR="00C11869">
        <w:rPr>
          <w:rFonts w:eastAsia="Times New Roman"/>
          <w:lang w:eastAsia="en-GB"/>
        </w:rPr>
        <w:t>d</w:t>
      </w:r>
      <w:r w:rsidRPr="009F1208">
        <w:rPr>
          <w:rFonts w:eastAsia="Times New Roman"/>
          <w:lang w:eastAsia="en-GB"/>
        </w:rPr>
        <w:t xml:space="preserve"> been completed and reported elsewhere or </w:t>
      </w:r>
      <w:r w:rsidR="00C11869">
        <w:rPr>
          <w:rFonts w:eastAsia="Times New Roman"/>
          <w:lang w:eastAsia="en-GB"/>
        </w:rPr>
        <w:t xml:space="preserve">were </w:t>
      </w:r>
      <w:r w:rsidRPr="009F1208">
        <w:rPr>
          <w:rFonts w:eastAsia="Times New Roman"/>
          <w:lang w:eastAsia="en-GB"/>
        </w:rPr>
        <w:t xml:space="preserve">underway. </w:t>
      </w:r>
    </w:p>
    <w:p w14:paraId="7078BCA8" w14:textId="77777777" w:rsidR="001D79C5" w:rsidRPr="00FD7537" w:rsidRDefault="001D79C5" w:rsidP="001D79C5">
      <w:pPr>
        <w:spacing w:after="0" w:line="240" w:lineRule="auto"/>
        <w:ind w:left="709"/>
        <w:contextualSpacing/>
        <w:rPr>
          <w:rFonts w:asciiTheme="minorHAnsi" w:hAnsiTheme="minorHAnsi" w:cstheme="minorHAnsi"/>
          <w:highlight w:val="cyan"/>
        </w:rPr>
      </w:pPr>
    </w:p>
    <w:p w14:paraId="62EA65D3" w14:textId="77777777" w:rsidR="001D79C5" w:rsidRPr="00F86BDD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F86BDD">
        <w:rPr>
          <w:rFonts w:asciiTheme="minorHAnsi" w:hAnsiTheme="minorHAnsi" w:cs="Calibri"/>
          <w:b/>
        </w:rPr>
        <w:t>4.</w:t>
      </w:r>
      <w:r>
        <w:rPr>
          <w:rFonts w:asciiTheme="minorHAnsi" w:hAnsiTheme="minorHAnsi" w:cs="Calibri"/>
          <w:b/>
        </w:rPr>
        <w:tab/>
        <w:t xml:space="preserve">REMIT, COMPOSITION AND MEMBERSHIP                                                                     </w:t>
      </w:r>
      <w:proofErr w:type="gramStart"/>
      <w:r w:rsidRPr="00F86BDD">
        <w:rPr>
          <w:rFonts w:asciiTheme="minorHAnsi" w:hAnsiTheme="minorHAnsi" w:cs="Calibri"/>
          <w:b/>
        </w:rPr>
        <w:t>UC(</w:t>
      </w:r>
      <w:proofErr w:type="gramEnd"/>
      <w:r>
        <w:rPr>
          <w:rFonts w:asciiTheme="minorHAnsi" w:hAnsiTheme="minorHAnsi" w:cs="Calibri"/>
          <w:b/>
        </w:rPr>
        <w:t>21</w:t>
      </w:r>
      <w:r w:rsidRPr="00F86BDD">
        <w:rPr>
          <w:rFonts w:asciiTheme="minorHAnsi" w:hAnsiTheme="minorHAnsi" w:cs="Calibri"/>
          <w:b/>
        </w:rPr>
        <w:t>/2</w:t>
      </w:r>
      <w:r>
        <w:rPr>
          <w:rFonts w:asciiTheme="minorHAnsi" w:hAnsiTheme="minorHAnsi" w:cs="Calibri"/>
          <w:b/>
        </w:rPr>
        <w:t>2</w:t>
      </w:r>
      <w:r w:rsidRPr="00F86BD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1</w:t>
      </w:r>
    </w:p>
    <w:p w14:paraId="555145F7" w14:textId="1FAD5DC7" w:rsidR="001D79C5" w:rsidRPr="00C47658" w:rsidRDefault="00C11869" w:rsidP="001D79C5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Court </w:t>
      </w:r>
      <w:r w:rsidR="001D79C5" w:rsidRPr="009F1208">
        <w:rPr>
          <w:rFonts w:asciiTheme="minorHAnsi" w:hAnsiTheme="minorHAnsi" w:cs="Calibri"/>
          <w:bCs/>
          <w:u w:val="single"/>
        </w:rPr>
        <w:t>note</w:t>
      </w:r>
      <w:r>
        <w:rPr>
          <w:rFonts w:asciiTheme="minorHAnsi" w:hAnsiTheme="minorHAnsi" w:cs="Calibri"/>
          <w:bCs/>
          <w:u w:val="single"/>
        </w:rPr>
        <w:t>d</w:t>
      </w:r>
      <w:r w:rsidR="001D79C5" w:rsidRPr="00C47658">
        <w:rPr>
          <w:rFonts w:asciiTheme="minorHAnsi" w:hAnsiTheme="minorHAnsi" w:cs="Calibri"/>
          <w:bCs/>
        </w:rPr>
        <w:t xml:space="preserve"> the remit, composition and membership of Court for 2021/22</w:t>
      </w:r>
      <w:r w:rsidR="001D79C5">
        <w:rPr>
          <w:rFonts w:asciiTheme="minorHAnsi" w:hAnsiTheme="minorHAnsi" w:cs="Calibri"/>
          <w:bCs/>
        </w:rPr>
        <w:t>.</w:t>
      </w:r>
      <w:r w:rsidR="001D79C5" w:rsidRPr="00C47658">
        <w:rPr>
          <w:rFonts w:asciiTheme="minorHAnsi" w:hAnsiTheme="minorHAnsi" w:cs="Calibri"/>
          <w:bCs/>
        </w:rPr>
        <w:tab/>
      </w:r>
    </w:p>
    <w:p w14:paraId="29F5E74E" w14:textId="77777777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59B75541" w14:textId="0B7D5215" w:rsidR="001D79C5" w:rsidRPr="00F86BDD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5</w:t>
      </w:r>
      <w:r w:rsidR="00C11869">
        <w:rPr>
          <w:rFonts w:asciiTheme="minorHAnsi" w:hAnsiTheme="minorHAnsi" w:cs="Calibri"/>
          <w:b/>
        </w:rPr>
        <w:t>.</w:t>
      </w:r>
      <w:r>
        <w:rPr>
          <w:rFonts w:asciiTheme="minorHAnsi" w:hAnsiTheme="minorHAnsi" w:cs="Calibri"/>
          <w:b/>
        </w:rPr>
        <w:t xml:space="preserve">          </w:t>
      </w:r>
      <w:r w:rsidRPr="00F86BDD">
        <w:rPr>
          <w:rFonts w:asciiTheme="minorHAnsi" w:hAnsiTheme="minorHAnsi" w:cs="Calibri"/>
          <w:b/>
        </w:rPr>
        <w:t>DEVELOPMENTS IN THE EXTERNAL ENVIRONMENT</w:t>
      </w:r>
      <w:r w:rsidRPr="00F86BDD">
        <w:rPr>
          <w:rFonts w:asciiTheme="minorHAnsi" w:hAnsiTheme="minorHAnsi" w:cs="Calibri"/>
          <w:b/>
        </w:rPr>
        <w:tab/>
      </w:r>
      <w:proofErr w:type="gramStart"/>
      <w:r w:rsidRPr="00F86BDD">
        <w:rPr>
          <w:rFonts w:asciiTheme="minorHAnsi" w:hAnsiTheme="minorHAnsi" w:cs="Calibri"/>
          <w:b/>
        </w:rPr>
        <w:t>UC(</w:t>
      </w:r>
      <w:proofErr w:type="gramEnd"/>
      <w:r>
        <w:rPr>
          <w:rFonts w:asciiTheme="minorHAnsi" w:hAnsiTheme="minorHAnsi" w:cs="Calibri"/>
          <w:b/>
        </w:rPr>
        <w:t>21</w:t>
      </w:r>
      <w:r w:rsidRPr="00F86BDD">
        <w:rPr>
          <w:rFonts w:asciiTheme="minorHAnsi" w:hAnsiTheme="minorHAnsi" w:cs="Calibri"/>
          <w:b/>
        </w:rPr>
        <w:t>/2</w:t>
      </w:r>
      <w:r>
        <w:rPr>
          <w:rFonts w:asciiTheme="minorHAnsi" w:hAnsiTheme="minorHAnsi" w:cs="Calibri"/>
          <w:b/>
        </w:rPr>
        <w:t>2</w:t>
      </w:r>
      <w:r w:rsidRPr="00F86BDD">
        <w:rPr>
          <w:rFonts w:asciiTheme="minorHAnsi" w:hAnsiTheme="minorHAnsi" w:cs="Calibri"/>
          <w:b/>
        </w:rPr>
        <w:t>)</w:t>
      </w:r>
      <w:r>
        <w:rPr>
          <w:rFonts w:asciiTheme="minorHAnsi" w:hAnsiTheme="minorHAnsi" w:cs="Calibri"/>
          <w:b/>
        </w:rPr>
        <w:t>2</w:t>
      </w:r>
      <w:r w:rsidRPr="00F86BDD">
        <w:rPr>
          <w:rFonts w:asciiTheme="minorHAnsi" w:hAnsiTheme="minorHAnsi" w:cs="Calibri"/>
          <w:b/>
        </w:rPr>
        <w:t xml:space="preserve"> </w:t>
      </w:r>
    </w:p>
    <w:p w14:paraId="368FEBDB" w14:textId="489F8D7B" w:rsidR="001D79C5" w:rsidRPr="00AB60E7" w:rsidRDefault="00C11869" w:rsidP="00AF2070">
      <w:pPr>
        <w:spacing w:after="0" w:line="240" w:lineRule="auto"/>
        <w:ind w:left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 xml:space="preserve">Members received an overview of </w:t>
      </w:r>
      <w:r w:rsidR="001D79C5" w:rsidRPr="009F1208">
        <w:rPr>
          <w:rFonts w:asciiTheme="minorHAnsi" w:hAnsiTheme="minorHAnsi" w:cs="Calibri"/>
        </w:rPr>
        <w:t>developments in the external environment</w:t>
      </w:r>
      <w:r>
        <w:rPr>
          <w:rFonts w:asciiTheme="minorHAnsi" w:hAnsiTheme="minorHAnsi" w:cs="Calibri"/>
        </w:rPr>
        <w:t xml:space="preserve"> that included</w:t>
      </w:r>
      <w:r w:rsidR="00AF2070">
        <w:rPr>
          <w:rFonts w:asciiTheme="minorHAnsi" w:hAnsiTheme="minorHAnsi" w:cs="Calibri"/>
        </w:rPr>
        <w:t xml:space="preserve"> the </w:t>
      </w:r>
      <w:r w:rsidR="001D79C5" w:rsidRPr="00AF2070">
        <w:rPr>
          <w:rFonts w:asciiTheme="minorHAnsi" w:hAnsiTheme="minorHAnsi" w:cstheme="minorHAnsi"/>
        </w:rPr>
        <w:t>Covid-19 landscape</w:t>
      </w:r>
      <w:r w:rsidR="00AF2070">
        <w:rPr>
          <w:rFonts w:asciiTheme="minorHAnsi" w:hAnsiTheme="minorHAnsi" w:cstheme="minorHAnsi"/>
        </w:rPr>
        <w:t xml:space="preserve"> and </w:t>
      </w:r>
      <w:r w:rsidR="001D79C5" w:rsidRPr="00AF2070">
        <w:rPr>
          <w:rFonts w:asciiTheme="minorHAnsi" w:hAnsiTheme="minorHAnsi" w:cstheme="minorHAnsi"/>
        </w:rPr>
        <w:t>the safe and managed return of students for the start of the academic year;</w:t>
      </w:r>
      <w:r w:rsidR="00AF2070">
        <w:rPr>
          <w:rFonts w:asciiTheme="minorHAnsi" w:hAnsiTheme="minorHAnsi" w:cstheme="minorHAnsi"/>
        </w:rPr>
        <w:t xml:space="preserve"> </w:t>
      </w:r>
      <w:r w:rsidR="001D79C5" w:rsidRPr="00AB60E7">
        <w:rPr>
          <w:rFonts w:asciiTheme="minorHAnsi" w:hAnsiTheme="minorHAnsi" w:cstheme="minorHAnsi"/>
        </w:rPr>
        <w:t>Scottish Funding Council Report on Coherence and Sustainability</w:t>
      </w:r>
      <w:r w:rsidR="001D79C5">
        <w:rPr>
          <w:rFonts w:asciiTheme="minorHAnsi" w:hAnsiTheme="minorHAnsi" w:cstheme="minorHAnsi"/>
        </w:rPr>
        <w:t>;</w:t>
      </w:r>
      <w:r w:rsidR="00AF2070">
        <w:rPr>
          <w:rFonts w:asciiTheme="minorHAnsi" w:hAnsiTheme="minorHAnsi" w:cstheme="minorHAnsi"/>
        </w:rPr>
        <w:t xml:space="preserve"> </w:t>
      </w:r>
      <w:r w:rsidR="001D79C5" w:rsidRPr="00AB60E7">
        <w:rPr>
          <w:rFonts w:asciiTheme="minorHAnsi" w:hAnsiTheme="minorHAnsi" w:cstheme="minorHAnsi"/>
        </w:rPr>
        <w:t>Universities Superannuation Scheme (USS) Pension Valuation 2020</w:t>
      </w:r>
      <w:r w:rsidR="001D79C5">
        <w:rPr>
          <w:rFonts w:asciiTheme="minorHAnsi" w:hAnsiTheme="minorHAnsi" w:cstheme="minorHAnsi"/>
        </w:rPr>
        <w:t>;</w:t>
      </w:r>
      <w:r w:rsidR="00AF2070">
        <w:rPr>
          <w:rFonts w:asciiTheme="minorHAnsi" w:hAnsiTheme="minorHAnsi" w:cstheme="minorHAnsi"/>
        </w:rPr>
        <w:t xml:space="preserve"> the </w:t>
      </w:r>
      <w:r w:rsidR="001D79C5" w:rsidRPr="00AB60E7">
        <w:rPr>
          <w:rFonts w:asciiTheme="minorHAnsi" w:hAnsiTheme="minorHAnsi" w:cstheme="minorHAnsi"/>
        </w:rPr>
        <w:t>Admission Cycle 2021;</w:t>
      </w:r>
      <w:r w:rsidR="00AF2070">
        <w:rPr>
          <w:rFonts w:asciiTheme="minorHAnsi" w:hAnsiTheme="minorHAnsi" w:cstheme="minorHAnsi"/>
        </w:rPr>
        <w:t xml:space="preserve"> </w:t>
      </w:r>
      <w:r w:rsidR="001D79C5" w:rsidRPr="00AB60E7">
        <w:rPr>
          <w:rFonts w:asciiTheme="minorHAnsi" w:hAnsiTheme="minorHAnsi" w:cstheme="minorHAnsi"/>
        </w:rPr>
        <w:t>NSS and Student Survey Results</w:t>
      </w:r>
      <w:r w:rsidR="001D79C5">
        <w:rPr>
          <w:rFonts w:asciiTheme="minorHAnsi" w:hAnsiTheme="minorHAnsi" w:cstheme="minorHAnsi"/>
        </w:rPr>
        <w:t>; and</w:t>
      </w:r>
      <w:r w:rsidR="00AF2070">
        <w:rPr>
          <w:rFonts w:asciiTheme="minorHAnsi" w:hAnsiTheme="minorHAnsi" w:cstheme="minorHAnsi"/>
        </w:rPr>
        <w:t xml:space="preserve"> </w:t>
      </w:r>
      <w:r w:rsidR="001D79C5">
        <w:rPr>
          <w:rFonts w:asciiTheme="minorHAnsi" w:hAnsiTheme="minorHAnsi" w:cstheme="minorHAnsi"/>
        </w:rPr>
        <w:t>Scottish Government Programme for Government 2021-22.</w:t>
      </w:r>
    </w:p>
    <w:p w14:paraId="4A5807DA" w14:textId="77777777" w:rsidR="001D79C5" w:rsidRPr="009F1208" w:rsidRDefault="001D79C5" w:rsidP="001D79C5">
      <w:pPr>
        <w:pStyle w:val="ListParagraph"/>
        <w:spacing w:after="0" w:line="240" w:lineRule="auto"/>
        <w:ind w:left="1429"/>
        <w:jc w:val="both"/>
        <w:rPr>
          <w:rFonts w:asciiTheme="minorHAnsi" w:hAnsiTheme="minorHAnsi" w:cstheme="minorHAnsi"/>
        </w:rPr>
      </w:pPr>
    </w:p>
    <w:p w14:paraId="647310E7" w14:textId="60529FE7" w:rsidR="00AF2070" w:rsidRPr="00D63F1A" w:rsidRDefault="00AF2070" w:rsidP="00D63F1A">
      <w:pPr>
        <w:tabs>
          <w:tab w:val="left" w:pos="709"/>
          <w:tab w:val="right" w:pos="9072"/>
        </w:tabs>
        <w:spacing w:after="0" w:line="240" w:lineRule="auto"/>
        <w:ind w:left="709"/>
        <w:jc w:val="both"/>
        <w:rPr>
          <w:rFonts w:asciiTheme="minorHAnsi" w:hAnsiTheme="minorHAnsi" w:cstheme="minorHAnsi"/>
          <w:bCs/>
        </w:rPr>
      </w:pPr>
      <w:r w:rsidRPr="00D63F1A">
        <w:rPr>
          <w:rFonts w:asciiTheme="minorHAnsi" w:hAnsiTheme="minorHAnsi" w:cstheme="minorHAnsi"/>
          <w:bCs/>
        </w:rPr>
        <w:t xml:space="preserve">Member discussed </w:t>
      </w:r>
      <w:r w:rsidR="00D63F1A" w:rsidRPr="00D63F1A">
        <w:rPr>
          <w:rFonts w:asciiTheme="minorHAnsi" w:hAnsiTheme="minorHAnsi" w:cstheme="minorHAnsi"/>
          <w:bCs/>
        </w:rPr>
        <w:t xml:space="preserve">in particular the </w:t>
      </w:r>
      <w:r w:rsidRPr="00D63F1A">
        <w:rPr>
          <w:rFonts w:asciiTheme="minorHAnsi" w:hAnsiTheme="minorHAnsi" w:cstheme="minorHAnsi"/>
          <w:bCs/>
        </w:rPr>
        <w:t>managed return of students for the start of the academic year including the uptake in Covid-19 vaccinations</w:t>
      </w:r>
      <w:r w:rsidR="00D63F1A">
        <w:rPr>
          <w:rFonts w:asciiTheme="minorHAnsi" w:hAnsiTheme="minorHAnsi" w:cstheme="minorHAnsi"/>
          <w:bCs/>
        </w:rPr>
        <w:t xml:space="preserve">, progress of </w:t>
      </w:r>
      <w:r w:rsidR="00D63F1A" w:rsidRPr="00D63F1A">
        <w:rPr>
          <w:rFonts w:asciiTheme="minorHAnsi" w:hAnsiTheme="minorHAnsi" w:cstheme="minorHAnsi"/>
          <w:bCs/>
        </w:rPr>
        <w:t xml:space="preserve">the University’s </w:t>
      </w:r>
      <w:r w:rsidR="00D63F1A">
        <w:rPr>
          <w:rFonts w:asciiTheme="minorHAnsi" w:hAnsiTheme="minorHAnsi" w:cstheme="minorHAnsi"/>
          <w:bCs/>
        </w:rPr>
        <w:t xml:space="preserve">student satisfaction </w:t>
      </w:r>
      <w:r w:rsidR="00D63F1A" w:rsidRPr="00D63F1A">
        <w:rPr>
          <w:rFonts w:asciiTheme="minorHAnsi" w:hAnsiTheme="minorHAnsi" w:cstheme="minorHAnsi"/>
          <w:bCs/>
        </w:rPr>
        <w:t>ranking</w:t>
      </w:r>
      <w:r w:rsidR="00D63F1A">
        <w:rPr>
          <w:rFonts w:asciiTheme="minorHAnsi" w:hAnsiTheme="minorHAnsi" w:cstheme="minorHAnsi"/>
          <w:bCs/>
        </w:rPr>
        <w:t>s</w:t>
      </w:r>
      <w:r w:rsidR="00D63F1A" w:rsidRPr="00D63F1A">
        <w:rPr>
          <w:rFonts w:asciiTheme="minorHAnsi" w:hAnsiTheme="minorHAnsi" w:cstheme="minorHAnsi"/>
          <w:bCs/>
        </w:rPr>
        <w:t xml:space="preserve"> in a global context</w:t>
      </w:r>
      <w:r w:rsidR="00D63F1A">
        <w:rPr>
          <w:rFonts w:asciiTheme="minorHAnsi" w:hAnsiTheme="minorHAnsi" w:cstheme="minorHAnsi"/>
          <w:bCs/>
        </w:rPr>
        <w:t xml:space="preserve">, actions to further improve the postgraduate research student experience and </w:t>
      </w:r>
      <w:r w:rsidR="00D118F1">
        <w:rPr>
          <w:rFonts w:asciiTheme="minorHAnsi" w:hAnsiTheme="minorHAnsi" w:cstheme="minorHAnsi"/>
          <w:bCs/>
        </w:rPr>
        <w:t>the University’s approach to engagement activity with alumni to d</w:t>
      </w:r>
      <w:r w:rsidR="00D63F1A">
        <w:rPr>
          <w:rFonts w:asciiTheme="minorHAnsi" w:hAnsiTheme="minorHAnsi" w:cstheme="minorHAnsi"/>
          <w:bCs/>
        </w:rPr>
        <w:t xml:space="preserve">evelop </w:t>
      </w:r>
      <w:r w:rsidR="00D118F1">
        <w:rPr>
          <w:rFonts w:asciiTheme="minorHAnsi" w:hAnsiTheme="minorHAnsi" w:cstheme="minorHAnsi"/>
          <w:bCs/>
        </w:rPr>
        <w:t xml:space="preserve">stronger relationships. </w:t>
      </w:r>
      <w:r w:rsidR="00D63F1A">
        <w:rPr>
          <w:rFonts w:asciiTheme="minorHAnsi" w:hAnsiTheme="minorHAnsi" w:cstheme="minorHAnsi"/>
          <w:bCs/>
        </w:rPr>
        <w:t xml:space="preserve"> </w:t>
      </w:r>
      <w:r w:rsidR="00D63F1A" w:rsidRPr="00D63F1A">
        <w:rPr>
          <w:rFonts w:asciiTheme="minorHAnsi" w:hAnsiTheme="minorHAnsi" w:cstheme="minorHAnsi"/>
          <w:bCs/>
        </w:rPr>
        <w:t xml:space="preserve"> </w:t>
      </w:r>
      <w:r w:rsidR="001D79C5" w:rsidRPr="00D63F1A">
        <w:rPr>
          <w:rFonts w:asciiTheme="minorHAnsi" w:hAnsiTheme="minorHAnsi" w:cstheme="minorHAnsi"/>
          <w:bCs/>
        </w:rPr>
        <w:tab/>
      </w:r>
    </w:p>
    <w:p w14:paraId="496051DB" w14:textId="77777777" w:rsidR="00AF2070" w:rsidRPr="00D63F1A" w:rsidRDefault="00AF2070" w:rsidP="00D63F1A">
      <w:pPr>
        <w:tabs>
          <w:tab w:val="left" w:pos="709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2E320120" w14:textId="115169F3" w:rsidR="001D79C5" w:rsidRPr="009F1208" w:rsidRDefault="00D63F1A" w:rsidP="001D79C5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C11869" w:rsidRPr="00C11869">
        <w:rPr>
          <w:rFonts w:asciiTheme="minorHAnsi" w:hAnsiTheme="minorHAnsi" w:cstheme="minorHAnsi"/>
          <w:bCs/>
        </w:rPr>
        <w:t xml:space="preserve">Court </w:t>
      </w:r>
      <w:r w:rsidR="001D79C5" w:rsidRPr="009F1208">
        <w:rPr>
          <w:rFonts w:asciiTheme="minorHAnsi" w:hAnsiTheme="minorHAnsi" w:cstheme="minorHAnsi"/>
          <w:bCs/>
          <w:u w:val="single"/>
        </w:rPr>
        <w:t>note</w:t>
      </w:r>
      <w:r w:rsidR="00C11869">
        <w:rPr>
          <w:rFonts w:asciiTheme="minorHAnsi" w:hAnsiTheme="minorHAnsi" w:cstheme="minorHAnsi"/>
          <w:bCs/>
          <w:u w:val="single"/>
        </w:rPr>
        <w:t>d</w:t>
      </w:r>
      <w:r w:rsidR="001D79C5" w:rsidRPr="009F1208">
        <w:rPr>
          <w:rFonts w:asciiTheme="minorHAnsi" w:hAnsiTheme="minorHAnsi" w:cstheme="minorHAnsi"/>
          <w:bCs/>
        </w:rPr>
        <w:t xml:space="preserve"> the recent development</w:t>
      </w:r>
      <w:r w:rsidR="008611B1">
        <w:rPr>
          <w:rFonts w:asciiTheme="minorHAnsi" w:hAnsiTheme="minorHAnsi" w:cstheme="minorHAnsi"/>
          <w:bCs/>
        </w:rPr>
        <w:t>s</w:t>
      </w:r>
      <w:r w:rsidR="001D79C5" w:rsidRPr="009F1208">
        <w:rPr>
          <w:rFonts w:asciiTheme="minorHAnsi" w:hAnsiTheme="minorHAnsi" w:cstheme="minorHAnsi"/>
          <w:bCs/>
        </w:rPr>
        <w:t xml:space="preserve"> in the external environment. </w:t>
      </w:r>
    </w:p>
    <w:p w14:paraId="4F61F4AD" w14:textId="77777777" w:rsidR="001D79C5" w:rsidRPr="00FD7537" w:rsidRDefault="001D79C5" w:rsidP="001D79C5">
      <w:pPr>
        <w:tabs>
          <w:tab w:val="left" w:pos="709"/>
          <w:tab w:val="right" w:pos="9072"/>
        </w:tabs>
        <w:spacing w:after="0" w:line="240" w:lineRule="auto"/>
        <w:rPr>
          <w:rFonts w:asciiTheme="minorHAnsi" w:hAnsiTheme="minorHAnsi" w:cs="Calibri"/>
          <w:bCs/>
          <w:highlight w:val="cyan"/>
        </w:rPr>
      </w:pPr>
    </w:p>
    <w:p w14:paraId="1C8CEEDD" w14:textId="77777777" w:rsidR="00AF2070" w:rsidRDefault="00AF2070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7BF478B2" w14:textId="16A6BA85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C47658">
        <w:rPr>
          <w:rFonts w:cs="Calibri"/>
          <w:b/>
          <w:i/>
        </w:rPr>
        <w:lastRenderedPageBreak/>
        <w:t>INSTITUTIONAL PLANNING AND BUDGETING</w:t>
      </w:r>
    </w:p>
    <w:p w14:paraId="48BDA63B" w14:textId="17F6E89E" w:rsidR="00CE2311" w:rsidRDefault="001D79C5" w:rsidP="00762249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cs="Calibri"/>
          <w:bCs/>
          <w:color w:val="000000" w:themeColor="text1"/>
        </w:rPr>
      </w:pPr>
      <w:r w:rsidRPr="00C47658">
        <w:rPr>
          <w:rFonts w:asciiTheme="minorHAnsi" w:hAnsiTheme="minorHAnsi" w:cs="Calibri"/>
          <w:b/>
        </w:rPr>
        <w:t>6.</w:t>
      </w:r>
      <w:r w:rsidRPr="00C47658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 xml:space="preserve">INTEGRATED PLANNING AND </w:t>
      </w:r>
      <w:r w:rsidRPr="000C4E58">
        <w:rPr>
          <w:rFonts w:asciiTheme="minorHAnsi" w:hAnsiTheme="minorHAnsi" w:cs="Calibri"/>
          <w:b/>
        </w:rPr>
        <w:t xml:space="preserve">BUDGETING                                                                     </w:t>
      </w:r>
      <w:proofErr w:type="gramStart"/>
      <w:r w:rsidRPr="000C4E58">
        <w:rPr>
          <w:rFonts w:asciiTheme="minorHAnsi" w:hAnsiTheme="minorHAnsi" w:cs="Calibri"/>
          <w:b/>
        </w:rPr>
        <w:t>UC(</w:t>
      </w:r>
      <w:proofErr w:type="gramEnd"/>
      <w:r w:rsidRPr="000C4E58">
        <w:rPr>
          <w:rFonts w:asciiTheme="minorHAnsi" w:hAnsiTheme="minorHAnsi" w:cs="Calibri"/>
          <w:b/>
        </w:rPr>
        <w:t xml:space="preserve">21/22)3                                                                                                                                                   </w:t>
      </w:r>
      <w:r w:rsidR="00C11869" w:rsidRPr="00F67203">
        <w:rPr>
          <w:rFonts w:asciiTheme="minorHAnsi" w:hAnsiTheme="minorHAnsi" w:cs="Calibri"/>
          <w:bCs/>
        </w:rPr>
        <w:t xml:space="preserve">Members received an </w:t>
      </w:r>
      <w:r w:rsidR="00F67203" w:rsidRPr="00F67203">
        <w:rPr>
          <w:rFonts w:asciiTheme="minorHAnsi" w:hAnsiTheme="minorHAnsi" w:cs="Calibri"/>
          <w:bCs/>
        </w:rPr>
        <w:t xml:space="preserve">overview of the </w:t>
      </w:r>
      <w:r w:rsidR="008611B1">
        <w:rPr>
          <w:rFonts w:cstheme="minorHAnsi"/>
          <w:bCs/>
        </w:rPr>
        <w:t>i</w:t>
      </w:r>
      <w:r w:rsidRPr="00F67203">
        <w:rPr>
          <w:rFonts w:cstheme="minorHAnsi"/>
          <w:bCs/>
        </w:rPr>
        <w:t>ntegrated planning and budget</w:t>
      </w:r>
      <w:r w:rsidR="008611B1">
        <w:rPr>
          <w:rFonts w:cstheme="minorHAnsi"/>
          <w:bCs/>
        </w:rPr>
        <w:t>ing</w:t>
      </w:r>
      <w:r w:rsidRPr="00F67203">
        <w:rPr>
          <w:rFonts w:cstheme="minorHAnsi"/>
          <w:bCs/>
        </w:rPr>
        <w:t xml:space="preserve"> paper</w:t>
      </w:r>
      <w:r w:rsidR="00F67203">
        <w:rPr>
          <w:rFonts w:cstheme="minorHAnsi"/>
          <w:bCs/>
        </w:rPr>
        <w:t xml:space="preserve"> </w:t>
      </w:r>
      <w:r w:rsidR="00CE2311">
        <w:rPr>
          <w:rFonts w:cstheme="minorHAnsi"/>
          <w:bCs/>
        </w:rPr>
        <w:t xml:space="preserve">which included </w:t>
      </w:r>
      <w:r w:rsidR="00762249">
        <w:rPr>
          <w:rFonts w:cstheme="minorHAnsi"/>
          <w:bCs/>
        </w:rPr>
        <w:t xml:space="preserve">the </w:t>
      </w:r>
      <w:r w:rsidR="00762249" w:rsidRPr="00762249">
        <w:rPr>
          <w:rFonts w:cstheme="minorHAnsi"/>
          <w:bCs/>
        </w:rPr>
        <w:t>q</w:t>
      </w:r>
      <w:r w:rsidRPr="00762249">
        <w:rPr>
          <w:rFonts w:cs="Calibri"/>
          <w:bCs/>
          <w:color w:val="000000" w:themeColor="text1"/>
        </w:rPr>
        <w:t xml:space="preserve">uarter </w:t>
      </w:r>
      <w:r w:rsidR="00762249" w:rsidRPr="00762249">
        <w:rPr>
          <w:rFonts w:cs="Calibri"/>
          <w:bCs/>
          <w:color w:val="000000" w:themeColor="text1"/>
        </w:rPr>
        <w:t>f</w:t>
      </w:r>
      <w:r w:rsidRPr="00762249">
        <w:rPr>
          <w:rFonts w:cs="Calibri"/>
          <w:bCs/>
          <w:color w:val="000000" w:themeColor="text1"/>
        </w:rPr>
        <w:t xml:space="preserve">our </w:t>
      </w:r>
      <w:r w:rsidR="00762249" w:rsidRPr="00762249">
        <w:rPr>
          <w:rFonts w:cs="Calibri"/>
          <w:bCs/>
          <w:color w:val="000000" w:themeColor="text1"/>
        </w:rPr>
        <w:t>m</w:t>
      </w:r>
      <w:r w:rsidRPr="00762249">
        <w:rPr>
          <w:rFonts w:cs="Calibri"/>
          <w:bCs/>
          <w:color w:val="000000" w:themeColor="text1"/>
        </w:rPr>
        <w:t xml:space="preserve">anagement </w:t>
      </w:r>
      <w:r w:rsidR="00762249" w:rsidRPr="00762249">
        <w:rPr>
          <w:rFonts w:cs="Calibri"/>
          <w:bCs/>
          <w:color w:val="000000" w:themeColor="text1"/>
        </w:rPr>
        <w:t>a</w:t>
      </w:r>
      <w:r w:rsidRPr="00762249">
        <w:rPr>
          <w:rFonts w:cs="Calibri"/>
          <w:bCs/>
          <w:color w:val="000000" w:themeColor="text1"/>
        </w:rPr>
        <w:t>ccounts 2020-21</w:t>
      </w:r>
      <w:r w:rsidR="00762249" w:rsidRPr="00762249">
        <w:rPr>
          <w:rFonts w:cs="Calibri"/>
          <w:bCs/>
          <w:color w:val="000000" w:themeColor="text1"/>
        </w:rPr>
        <w:t xml:space="preserve"> and the University budget 2021-22</w:t>
      </w:r>
      <w:r w:rsidR="00762249">
        <w:rPr>
          <w:rFonts w:cs="Calibri"/>
          <w:bCs/>
          <w:color w:val="000000" w:themeColor="text1"/>
        </w:rPr>
        <w:t xml:space="preserve">. </w:t>
      </w:r>
    </w:p>
    <w:p w14:paraId="241E78D4" w14:textId="77777777" w:rsidR="00CE2311" w:rsidRDefault="00CE2311" w:rsidP="00762249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rPr>
          <w:rFonts w:cs="Calibri"/>
          <w:bCs/>
          <w:color w:val="000000" w:themeColor="text1"/>
        </w:rPr>
      </w:pPr>
    </w:p>
    <w:p w14:paraId="453FF529" w14:textId="4DD4B4D7" w:rsidR="00CE2311" w:rsidRDefault="00CE2311" w:rsidP="00CE231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jc w:val="both"/>
        <w:rPr>
          <w:rFonts w:cs="Calibri"/>
          <w:color w:val="000000" w:themeColor="text1"/>
        </w:rPr>
      </w:pPr>
      <w:r>
        <w:rPr>
          <w:rFonts w:cs="Calibri"/>
          <w:bCs/>
          <w:color w:val="000000" w:themeColor="text1"/>
        </w:rPr>
        <w:tab/>
      </w:r>
      <w:r w:rsidRPr="00CE2311">
        <w:rPr>
          <w:rFonts w:cs="Calibri"/>
          <w:bCs/>
          <w:color w:val="000000" w:themeColor="text1"/>
        </w:rPr>
        <w:t xml:space="preserve">It was confirmed that the quarter 4 </w:t>
      </w:r>
      <w:r w:rsidRPr="00CE2311">
        <w:rPr>
          <w:rFonts w:cs="Calibri"/>
          <w:color w:val="000000" w:themeColor="text1"/>
        </w:rPr>
        <w:t>management accounts presented a preliminary outturn surplus of £2.7m, £1.5m better than the Q3 position and an overall improvement of £2.2m on the ‘Scenario One’ position of £0.5m which was adopted as the University Budget for 2020-21. Work was continuing on the final audited financial statements for financial year 2020-21 for presentation to and approval at the December meeting of Court along with a reconciliation of any material changes to the quarter 4 position presented.</w:t>
      </w:r>
      <w:r w:rsidR="00F26608">
        <w:rPr>
          <w:rFonts w:cs="Calibri"/>
          <w:color w:val="000000" w:themeColor="text1"/>
        </w:rPr>
        <w:t xml:space="preserve">  It was confirmed that the employer element </w:t>
      </w:r>
      <w:r w:rsidR="003F7609">
        <w:rPr>
          <w:rFonts w:cs="Calibri"/>
          <w:color w:val="000000" w:themeColor="text1"/>
        </w:rPr>
        <w:t xml:space="preserve">of </w:t>
      </w:r>
      <w:r w:rsidR="00F26608">
        <w:rPr>
          <w:rFonts w:cs="Calibri"/>
          <w:color w:val="000000" w:themeColor="text1"/>
        </w:rPr>
        <w:t xml:space="preserve">any </w:t>
      </w:r>
      <w:r w:rsidR="003F7609">
        <w:rPr>
          <w:rFonts w:cs="Calibri"/>
          <w:color w:val="000000" w:themeColor="text1"/>
        </w:rPr>
        <w:t xml:space="preserve">proposed </w:t>
      </w:r>
      <w:r w:rsidR="00F26608">
        <w:rPr>
          <w:rFonts w:cs="Calibri"/>
          <w:color w:val="000000" w:themeColor="text1"/>
        </w:rPr>
        <w:t xml:space="preserve">increase to </w:t>
      </w:r>
      <w:r w:rsidR="003F7609">
        <w:rPr>
          <w:rFonts w:cs="Calibri"/>
          <w:color w:val="000000" w:themeColor="text1"/>
        </w:rPr>
        <w:t>N</w:t>
      </w:r>
      <w:r w:rsidR="00F26608">
        <w:rPr>
          <w:rFonts w:cs="Calibri"/>
          <w:color w:val="000000" w:themeColor="text1"/>
        </w:rPr>
        <w:t xml:space="preserve">ational Insurance </w:t>
      </w:r>
      <w:r w:rsidR="003F7609">
        <w:rPr>
          <w:rFonts w:cs="Calibri"/>
          <w:color w:val="000000" w:themeColor="text1"/>
        </w:rPr>
        <w:t xml:space="preserve">contributions </w:t>
      </w:r>
      <w:r w:rsidR="00F26608">
        <w:rPr>
          <w:rFonts w:cs="Calibri"/>
          <w:color w:val="000000" w:themeColor="text1"/>
        </w:rPr>
        <w:t>would be factored into the quarter 1 position</w:t>
      </w:r>
      <w:r w:rsidR="003F7609">
        <w:rPr>
          <w:rFonts w:cs="Calibri"/>
          <w:color w:val="000000" w:themeColor="text1"/>
        </w:rPr>
        <w:t xml:space="preserve">. </w:t>
      </w:r>
      <w:r w:rsidR="00F26608">
        <w:rPr>
          <w:rFonts w:cs="Calibri"/>
          <w:color w:val="000000" w:themeColor="text1"/>
        </w:rPr>
        <w:t xml:space="preserve"> </w:t>
      </w:r>
    </w:p>
    <w:p w14:paraId="7C50F8BA" w14:textId="77777777" w:rsidR="00CE2311" w:rsidRPr="00CE2311" w:rsidRDefault="00CE2311" w:rsidP="00CE231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jc w:val="both"/>
        <w:rPr>
          <w:rFonts w:cs="Calibri"/>
          <w:b/>
          <w:bCs/>
          <w:color w:val="000000" w:themeColor="text1"/>
        </w:rPr>
      </w:pPr>
    </w:p>
    <w:p w14:paraId="15149677" w14:textId="5AB9BED7" w:rsidR="001D79C5" w:rsidRPr="00CE2311" w:rsidRDefault="00CE2311" w:rsidP="00CE231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jc w:val="both"/>
        <w:rPr>
          <w:rFonts w:cs="Calibri"/>
          <w:color w:val="000000" w:themeColor="text1"/>
        </w:rPr>
      </w:pPr>
      <w:r w:rsidRPr="00CE2311">
        <w:rPr>
          <w:rFonts w:cs="Calibri"/>
          <w:bCs/>
          <w:color w:val="000000" w:themeColor="text1"/>
        </w:rPr>
        <w:tab/>
        <w:t xml:space="preserve">Members discussed the </w:t>
      </w:r>
      <w:r w:rsidR="001D79C5" w:rsidRPr="00CE2311">
        <w:rPr>
          <w:rFonts w:cs="Calibri"/>
          <w:color w:val="000000" w:themeColor="text1"/>
        </w:rPr>
        <w:t>University Budget 2021-22</w:t>
      </w:r>
      <w:r w:rsidR="007C711C">
        <w:rPr>
          <w:rFonts w:cs="Calibri"/>
          <w:color w:val="000000" w:themeColor="text1"/>
        </w:rPr>
        <w:t xml:space="preserve"> and the </w:t>
      </w:r>
      <w:r w:rsidRPr="00CE2311">
        <w:rPr>
          <w:rFonts w:cs="Calibri"/>
          <w:color w:val="000000" w:themeColor="text1"/>
        </w:rPr>
        <w:t>accompanying</w:t>
      </w:r>
      <w:r w:rsidR="001D79C5" w:rsidRPr="00CE2311">
        <w:rPr>
          <w:rFonts w:cs="Calibri"/>
          <w:color w:val="000000" w:themeColor="text1"/>
        </w:rPr>
        <w:t xml:space="preserve"> commentary</w:t>
      </w:r>
      <w:r w:rsidR="007C711C">
        <w:rPr>
          <w:rFonts w:cs="Calibri"/>
          <w:color w:val="000000" w:themeColor="text1"/>
        </w:rPr>
        <w:t xml:space="preserve">.  </w:t>
      </w:r>
      <w:r w:rsidRPr="00CE2311">
        <w:rPr>
          <w:rFonts w:cs="Calibri"/>
          <w:color w:val="000000" w:themeColor="text1"/>
        </w:rPr>
        <w:t>It was confirmed that a</w:t>
      </w:r>
      <w:r w:rsidR="001D79C5" w:rsidRPr="00CE2311">
        <w:rPr>
          <w:rFonts w:cs="Calibri"/>
          <w:color w:val="000000" w:themeColor="text1"/>
        </w:rPr>
        <w:t xml:space="preserve"> firmer full forecast in respect of academic year 2021-22 </w:t>
      </w:r>
      <w:r w:rsidR="007C711C">
        <w:rPr>
          <w:rFonts w:cs="Calibri"/>
          <w:color w:val="000000" w:themeColor="text1"/>
        </w:rPr>
        <w:t xml:space="preserve">would </w:t>
      </w:r>
      <w:r w:rsidR="001D79C5" w:rsidRPr="00CE2311">
        <w:rPr>
          <w:rFonts w:cs="Calibri"/>
          <w:color w:val="000000" w:themeColor="text1"/>
        </w:rPr>
        <w:t xml:space="preserve">be reported at the </w:t>
      </w:r>
      <w:r w:rsidRPr="00CE2311">
        <w:rPr>
          <w:rFonts w:cs="Calibri"/>
          <w:color w:val="000000" w:themeColor="text1"/>
        </w:rPr>
        <w:t>quarter 1</w:t>
      </w:r>
      <w:r w:rsidR="001D79C5" w:rsidRPr="00CE2311">
        <w:rPr>
          <w:rFonts w:cs="Calibri"/>
          <w:color w:val="000000" w:themeColor="text1"/>
        </w:rPr>
        <w:t xml:space="preserve"> milestone.</w:t>
      </w:r>
      <w:r w:rsidR="00F26608">
        <w:rPr>
          <w:rFonts w:cs="Calibri"/>
          <w:color w:val="000000" w:themeColor="text1"/>
        </w:rPr>
        <w:t xml:space="preserve">  </w:t>
      </w:r>
    </w:p>
    <w:p w14:paraId="4E7A1136" w14:textId="77777777" w:rsidR="00CE2311" w:rsidRPr="00CE2311" w:rsidRDefault="00CE2311" w:rsidP="00CE2311">
      <w:pPr>
        <w:tabs>
          <w:tab w:val="left" w:pos="709"/>
          <w:tab w:val="right" w:pos="9072"/>
        </w:tabs>
        <w:spacing w:after="0" w:line="240" w:lineRule="auto"/>
        <w:ind w:left="709" w:hanging="709"/>
        <w:contextualSpacing/>
        <w:jc w:val="both"/>
        <w:rPr>
          <w:rFonts w:cs="Calibri"/>
          <w:b/>
          <w:bCs/>
          <w:color w:val="000000" w:themeColor="text1"/>
        </w:rPr>
      </w:pPr>
    </w:p>
    <w:p w14:paraId="0114D851" w14:textId="60A59796" w:rsidR="001D79C5" w:rsidRPr="00F26608" w:rsidRDefault="4A6C4B28" w:rsidP="00F26608">
      <w:pPr>
        <w:autoSpaceDE w:val="0"/>
        <w:autoSpaceDN w:val="0"/>
        <w:adjustRightInd w:val="0"/>
        <w:spacing w:line="240" w:lineRule="auto"/>
        <w:ind w:left="709"/>
        <w:jc w:val="both"/>
        <w:rPr>
          <w:rFonts w:cs="Calibri"/>
          <w:b/>
          <w:bCs/>
          <w:color w:val="000000"/>
        </w:rPr>
      </w:pPr>
      <w:r w:rsidRPr="0E469D01">
        <w:rPr>
          <w:rFonts w:cs="Calibri"/>
          <w:color w:val="000000" w:themeColor="text1"/>
        </w:rPr>
        <w:t>Members noted that b</w:t>
      </w:r>
      <w:r w:rsidR="30F69C35" w:rsidRPr="0E469D01">
        <w:rPr>
          <w:rFonts w:cs="Calibri"/>
        </w:rPr>
        <w:t xml:space="preserve">ased on the </w:t>
      </w:r>
      <w:r w:rsidRPr="0E469D01">
        <w:rPr>
          <w:rFonts w:cs="Calibri"/>
        </w:rPr>
        <w:t xml:space="preserve">quarter </w:t>
      </w:r>
      <w:r w:rsidR="30F69C35" w:rsidRPr="0E469D01">
        <w:rPr>
          <w:rFonts w:cs="Calibri"/>
        </w:rPr>
        <w:t>4 preliminary outturn surplus of £2.7m</w:t>
      </w:r>
      <w:r w:rsidRPr="0E469D01">
        <w:rPr>
          <w:rFonts w:cs="Calibri"/>
        </w:rPr>
        <w:t xml:space="preserve">, </w:t>
      </w:r>
      <w:r w:rsidR="30F69C35" w:rsidRPr="0E469D01">
        <w:rPr>
          <w:rFonts w:cs="Calibri"/>
        </w:rPr>
        <w:t xml:space="preserve">the University </w:t>
      </w:r>
      <w:r w:rsidR="2909B3B6" w:rsidRPr="0E469D01">
        <w:rPr>
          <w:rFonts w:cs="Calibri"/>
        </w:rPr>
        <w:t>would</w:t>
      </w:r>
      <w:r w:rsidR="30F69C35" w:rsidRPr="0E469D01">
        <w:rPr>
          <w:rFonts w:cs="Calibri"/>
        </w:rPr>
        <w:t xml:space="preserve"> be covenant compliant when tested formally against the 2020-21 financial statements.</w:t>
      </w:r>
      <w:r w:rsidR="5EFC9E2C" w:rsidRPr="0E469D01">
        <w:rPr>
          <w:rFonts w:cs="Calibri"/>
        </w:rPr>
        <w:t xml:space="preserve">  Members discussed the Coronavirus Large Business Interruption Loan Scheme (CLBILS), noted a </w:t>
      </w:r>
      <w:r w:rsidR="30F69C35" w:rsidRPr="0E469D01">
        <w:rPr>
          <w:rFonts w:cs="Calibri"/>
        </w:rPr>
        <w:t>further £10m may be drawn under th</w:t>
      </w:r>
      <w:r w:rsidR="5EFC9E2C" w:rsidRPr="0E469D01">
        <w:rPr>
          <w:rFonts w:cs="Calibri"/>
        </w:rPr>
        <w:t xml:space="preserve">is </w:t>
      </w:r>
      <w:r w:rsidR="30F69C35" w:rsidRPr="0E469D01">
        <w:rPr>
          <w:rFonts w:cs="Calibri"/>
        </w:rPr>
        <w:t>facility no later than December 2021</w:t>
      </w:r>
      <w:r w:rsidR="5EFC9E2C" w:rsidRPr="0E469D01">
        <w:rPr>
          <w:rFonts w:cs="Calibri"/>
        </w:rPr>
        <w:t xml:space="preserve"> and that </w:t>
      </w:r>
      <w:r w:rsidR="30F69C35" w:rsidRPr="0E469D01">
        <w:rPr>
          <w:rFonts w:cs="Calibri"/>
        </w:rPr>
        <w:t xml:space="preserve">the position </w:t>
      </w:r>
      <w:r w:rsidR="5EFC9E2C" w:rsidRPr="0E469D01">
        <w:rPr>
          <w:rFonts w:cs="Calibri"/>
        </w:rPr>
        <w:t xml:space="preserve">would </w:t>
      </w:r>
      <w:r w:rsidR="30F69C35" w:rsidRPr="0E469D01">
        <w:rPr>
          <w:rFonts w:cs="Calibri"/>
        </w:rPr>
        <w:t xml:space="preserve">be reviewed against the </w:t>
      </w:r>
      <w:r w:rsidR="5EFC9E2C" w:rsidRPr="0E469D01">
        <w:rPr>
          <w:rFonts w:cs="Calibri"/>
        </w:rPr>
        <w:t xml:space="preserve">quarter </w:t>
      </w:r>
      <w:r w:rsidR="30F69C35" w:rsidRPr="0E469D01">
        <w:rPr>
          <w:rFonts w:cs="Calibri"/>
        </w:rPr>
        <w:t xml:space="preserve">1 management accounts 2021-22 forecast outturn cash balance. </w:t>
      </w:r>
    </w:p>
    <w:p w14:paraId="1BF0171B" w14:textId="458D891D" w:rsidR="003F7609" w:rsidRDefault="003F7609" w:rsidP="00F26608">
      <w:p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 xml:space="preserve">Members discussed student intake for the forthcoming academic year and </w:t>
      </w:r>
      <w:r w:rsidR="008611B1">
        <w:rPr>
          <w:rFonts w:cs="Calibri"/>
        </w:rPr>
        <w:t>noted</w:t>
      </w:r>
      <w:r w:rsidR="007C711C">
        <w:rPr>
          <w:rFonts w:cs="Calibri"/>
        </w:rPr>
        <w:t xml:space="preserve"> that </w:t>
      </w:r>
      <w:r>
        <w:rPr>
          <w:rFonts w:cs="Calibri"/>
        </w:rPr>
        <w:t xml:space="preserve">the University’s </w:t>
      </w:r>
      <w:r w:rsidR="007C711C">
        <w:rPr>
          <w:rFonts w:cs="Calibri"/>
        </w:rPr>
        <w:t xml:space="preserve">agile </w:t>
      </w:r>
      <w:r>
        <w:rPr>
          <w:rFonts w:cs="Calibri"/>
        </w:rPr>
        <w:t xml:space="preserve">approach </w:t>
      </w:r>
      <w:r w:rsidR="007C711C">
        <w:rPr>
          <w:rFonts w:cs="Calibri"/>
        </w:rPr>
        <w:t xml:space="preserve">would </w:t>
      </w:r>
      <w:r>
        <w:rPr>
          <w:rFonts w:cs="Calibri"/>
        </w:rPr>
        <w:t xml:space="preserve">adapt to new numbers of incoming students and ensure the focus was on their experience.  </w:t>
      </w:r>
    </w:p>
    <w:p w14:paraId="48711842" w14:textId="77777777" w:rsidR="003F7609" w:rsidRDefault="003F7609" w:rsidP="00F26608">
      <w:pPr>
        <w:spacing w:after="0" w:line="240" w:lineRule="auto"/>
        <w:ind w:left="709"/>
        <w:jc w:val="both"/>
        <w:rPr>
          <w:rFonts w:cs="Calibri"/>
        </w:rPr>
      </w:pPr>
    </w:p>
    <w:p w14:paraId="061CB91F" w14:textId="7076EB8D" w:rsidR="001D79C5" w:rsidRDefault="001D79C5" w:rsidP="00F26608">
      <w:pPr>
        <w:spacing w:after="0" w:line="240" w:lineRule="auto"/>
        <w:ind w:left="709"/>
        <w:jc w:val="both"/>
        <w:rPr>
          <w:rFonts w:cstheme="minorHAnsi"/>
        </w:rPr>
      </w:pPr>
      <w:r w:rsidRPr="000536CE">
        <w:rPr>
          <w:rFonts w:cstheme="minorHAnsi"/>
        </w:rPr>
        <w:t xml:space="preserve">Court </w:t>
      </w:r>
      <w:r w:rsidRPr="000536CE">
        <w:rPr>
          <w:rFonts w:cstheme="minorHAnsi"/>
          <w:u w:val="single"/>
        </w:rPr>
        <w:t>consider</w:t>
      </w:r>
      <w:r w:rsidR="00F67203" w:rsidRPr="000536CE">
        <w:rPr>
          <w:rFonts w:cstheme="minorHAnsi"/>
          <w:u w:val="single"/>
        </w:rPr>
        <w:t>ed</w:t>
      </w:r>
      <w:r w:rsidRPr="000536CE">
        <w:rPr>
          <w:rFonts w:cstheme="minorHAnsi"/>
        </w:rPr>
        <w:t xml:space="preserve"> and comment</w:t>
      </w:r>
      <w:r w:rsidR="00F67203" w:rsidRPr="000536CE">
        <w:rPr>
          <w:rFonts w:cstheme="minorHAnsi"/>
        </w:rPr>
        <w:t>ed</w:t>
      </w:r>
      <w:r w:rsidRPr="000536CE">
        <w:rPr>
          <w:rFonts w:cstheme="minorHAnsi"/>
        </w:rPr>
        <w:t xml:space="preserve"> on the integrated planning and budgeting update.</w:t>
      </w:r>
      <w:r w:rsidRPr="00430B2F">
        <w:rPr>
          <w:rFonts w:cstheme="minorHAnsi"/>
        </w:rPr>
        <w:t xml:space="preserve"> </w:t>
      </w:r>
    </w:p>
    <w:p w14:paraId="336D3AC1" w14:textId="77777777" w:rsidR="00F26608" w:rsidRDefault="00F26608" w:rsidP="00F26608">
      <w:pPr>
        <w:spacing w:after="0" w:line="240" w:lineRule="auto"/>
        <w:ind w:left="709"/>
        <w:jc w:val="both"/>
        <w:rPr>
          <w:rFonts w:cstheme="minorHAnsi"/>
        </w:rPr>
      </w:pPr>
    </w:p>
    <w:p w14:paraId="16F6A142" w14:textId="790A9C39" w:rsidR="001D79C5" w:rsidRPr="00292120" w:rsidRDefault="00F67203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7</w:t>
      </w:r>
      <w:r w:rsidR="001D79C5" w:rsidRPr="000C4E58">
        <w:rPr>
          <w:rFonts w:asciiTheme="minorHAnsi" w:hAnsiTheme="minorHAnsi" w:cs="Calibri"/>
          <w:b/>
          <w:bCs/>
        </w:rPr>
        <w:t>.</w:t>
      </w:r>
      <w:r w:rsidR="001D79C5" w:rsidRPr="000C4E58">
        <w:rPr>
          <w:rFonts w:asciiTheme="minorHAnsi" w:hAnsiTheme="minorHAnsi" w:cs="Calibri"/>
          <w:b/>
          <w:bCs/>
        </w:rPr>
        <w:tab/>
        <w:t xml:space="preserve">ANNUAL PERFORMANCE REPORT </w:t>
      </w:r>
      <w:r w:rsidR="001D79C5" w:rsidRPr="000C4E58">
        <w:rPr>
          <w:rFonts w:asciiTheme="minorHAnsi" w:hAnsiTheme="minorHAnsi" w:cs="Calibri"/>
          <w:b/>
          <w:bCs/>
        </w:rPr>
        <w:tab/>
      </w:r>
      <w:proofErr w:type="gramStart"/>
      <w:r w:rsidR="001D79C5" w:rsidRPr="000C4E58">
        <w:rPr>
          <w:rFonts w:asciiTheme="minorHAnsi" w:hAnsiTheme="minorHAnsi" w:cs="Calibri"/>
          <w:b/>
          <w:bCs/>
        </w:rPr>
        <w:t>UC(</w:t>
      </w:r>
      <w:proofErr w:type="gramEnd"/>
      <w:r w:rsidR="001D79C5" w:rsidRPr="000C4E58">
        <w:rPr>
          <w:rFonts w:asciiTheme="minorHAnsi" w:hAnsiTheme="minorHAnsi" w:cs="Calibri"/>
          <w:b/>
          <w:bCs/>
        </w:rPr>
        <w:t>21/22)4</w:t>
      </w:r>
    </w:p>
    <w:p w14:paraId="31A8451D" w14:textId="385DD723" w:rsidR="001D79C5" w:rsidRPr="007C711C" w:rsidRDefault="00F67203" w:rsidP="004F73F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</w:rPr>
      </w:pPr>
      <w:r w:rsidRPr="00F67203">
        <w:rPr>
          <w:rFonts w:cs="Calibri"/>
          <w:bCs/>
          <w:iCs/>
        </w:rPr>
        <w:t xml:space="preserve">Members received an </w:t>
      </w:r>
      <w:r w:rsidR="007C711C">
        <w:rPr>
          <w:rFonts w:cs="Calibri"/>
          <w:bCs/>
          <w:iCs/>
        </w:rPr>
        <w:t>overview of the</w:t>
      </w:r>
      <w:r w:rsidR="001D79C5">
        <w:rPr>
          <w:rFonts w:asciiTheme="minorHAnsi" w:hAnsiTheme="minorHAnsi" w:cs="Calibri"/>
        </w:rPr>
        <w:t xml:space="preserve"> Annual Performance Report</w:t>
      </w:r>
      <w:r w:rsidR="007C711C">
        <w:rPr>
          <w:rFonts w:asciiTheme="minorHAnsi" w:hAnsiTheme="minorHAnsi" w:cs="Calibri"/>
        </w:rPr>
        <w:t xml:space="preserve"> </w:t>
      </w:r>
      <w:r w:rsidR="004F73FB">
        <w:rPr>
          <w:rFonts w:asciiTheme="minorHAnsi" w:hAnsiTheme="minorHAnsi" w:cs="Calibri"/>
        </w:rPr>
        <w:t xml:space="preserve">and </w:t>
      </w:r>
      <w:r w:rsidR="004F73FB" w:rsidRPr="004F73FB">
        <w:rPr>
          <w:rFonts w:asciiTheme="minorHAnsi" w:hAnsiTheme="minorHAnsi" w:cs="Calibri"/>
        </w:rPr>
        <w:t xml:space="preserve">discussed </w:t>
      </w:r>
      <w:r w:rsidR="001D79C5" w:rsidRPr="004F73FB">
        <w:rPr>
          <w:rFonts w:cstheme="minorHAnsi"/>
        </w:rPr>
        <w:t xml:space="preserve">the institutional performance in the previous year, informed by analysis of data and comparative performance across the sector or benchmark group. </w:t>
      </w:r>
    </w:p>
    <w:p w14:paraId="1F7038A0" w14:textId="77777777" w:rsidR="001D79C5" w:rsidRPr="00F67203" w:rsidRDefault="001D79C5" w:rsidP="004F73FB">
      <w:pPr>
        <w:pStyle w:val="ListParagraph"/>
        <w:spacing w:after="0" w:line="240" w:lineRule="auto"/>
        <w:ind w:left="709"/>
        <w:jc w:val="both"/>
        <w:rPr>
          <w:rFonts w:cstheme="minorHAnsi"/>
          <w:highlight w:val="yellow"/>
        </w:rPr>
      </w:pPr>
    </w:p>
    <w:p w14:paraId="2F390E1B" w14:textId="40BA02EC" w:rsidR="001D79C5" w:rsidRPr="00EC571B" w:rsidRDefault="004F73FB" w:rsidP="001D79C5">
      <w:pPr>
        <w:spacing w:after="0" w:line="240" w:lineRule="auto"/>
        <w:ind w:left="709"/>
        <w:jc w:val="both"/>
        <w:rPr>
          <w:rFonts w:cstheme="minorHAnsi"/>
        </w:rPr>
      </w:pPr>
      <w:r w:rsidRPr="000F317B">
        <w:rPr>
          <w:rFonts w:cstheme="minorHAnsi"/>
        </w:rPr>
        <w:t xml:space="preserve">It was confirmed that the </w:t>
      </w:r>
      <w:r w:rsidR="001D79C5" w:rsidRPr="000F317B">
        <w:rPr>
          <w:rFonts w:cstheme="minorHAnsi"/>
        </w:rPr>
        <w:t>2020/21 iteration of the Annual Performance Report ha</w:t>
      </w:r>
      <w:r w:rsidRPr="000F317B">
        <w:rPr>
          <w:rFonts w:cstheme="minorHAnsi"/>
        </w:rPr>
        <w:t>d</w:t>
      </w:r>
      <w:r w:rsidR="001D79C5" w:rsidRPr="000F317B">
        <w:rPr>
          <w:rFonts w:cstheme="minorHAnsi"/>
        </w:rPr>
        <w:t xml:space="preserve"> been constructed </w:t>
      </w:r>
      <w:r w:rsidRPr="000F317B">
        <w:rPr>
          <w:rFonts w:cstheme="minorHAnsi"/>
        </w:rPr>
        <w:t xml:space="preserve">to </w:t>
      </w:r>
      <w:r w:rsidR="001D79C5" w:rsidRPr="000F317B">
        <w:rPr>
          <w:rFonts w:cstheme="minorHAnsi"/>
        </w:rPr>
        <w:t>assess institutional performance relative to Strategic Plan</w:t>
      </w:r>
      <w:r w:rsidRPr="000F317B">
        <w:rPr>
          <w:rFonts w:cstheme="minorHAnsi"/>
        </w:rPr>
        <w:t xml:space="preserve"> </w:t>
      </w:r>
      <w:r w:rsidR="001D79C5" w:rsidRPr="000F317B">
        <w:rPr>
          <w:rFonts w:cstheme="minorHAnsi"/>
        </w:rPr>
        <w:t xml:space="preserve">KPI targets </w:t>
      </w:r>
      <w:r w:rsidRPr="000F317B">
        <w:rPr>
          <w:rFonts w:cstheme="minorHAnsi"/>
        </w:rPr>
        <w:t xml:space="preserve">and associated Planning and Budgeting considerations, </w:t>
      </w:r>
      <w:r w:rsidR="001D79C5" w:rsidRPr="000F317B">
        <w:rPr>
          <w:rFonts w:cstheme="minorHAnsi"/>
        </w:rPr>
        <w:t xml:space="preserve">while providing </w:t>
      </w:r>
      <w:r w:rsidRPr="000F317B">
        <w:rPr>
          <w:rFonts w:cstheme="minorHAnsi"/>
        </w:rPr>
        <w:t xml:space="preserve">an </w:t>
      </w:r>
      <w:r w:rsidR="001D79C5" w:rsidRPr="000F317B">
        <w:rPr>
          <w:rFonts w:cstheme="minorHAnsi"/>
        </w:rPr>
        <w:t xml:space="preserve">overview of specific institutional achievements and future priorities. </w:t>
      </w:r>
      <w:r w:rsidRPr="000F317B">
        <w:rPr>
          <w:rFonts w:cstheme="minorHAnsi"/>
        </w:rPr>
        <w:t xml:space="preserve"> It was</w:t>
      </w:r>
      <w:r>
        <w:rPr>
          <w:rFonts w:cstheme="minorHAnsi"/>
        </w:rPr>
        <w:t xml:space="preserve"> confirmed that targets had been re</w:t>
      </w:r>
      <w:r w:rsidR="000F317B">
        <w:rPr>
          <w:rFonts w:cstheme="minorHAnsi"/>
        </w:rPr>
        <w:t xml:space="preserve">viewed as part of the Strategic Plan Addendum and revised where appropriate to reflect changes in the external environment. </w:t>
      </w:r>
    </w:p>
    <w:p w14:paraId="3ADEF7F0" w14:textId="77777777" w:rsidR="001D79C5" w:rsidRDefault="001D79C5" w:rsidP="001D79C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asciiTheme="minorHAnsi" w:hAnsiTheme="minorHAnsi" w:cs="Calibri"/>
        </w:rPr>
      </w:pPr>
    </w:p>
    <w:p w14:paraId="16DA9762" w14:textId="412D5A4A" w:rsidR="001D79C5" w:rsidRPr="00292120" w:rsidRDefault="001D79C5" w:rsidP="001D79C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>
        <w:rPr>
          <w:rFonts w:asciiTheme="minorHAnsi" w:hAnsiTheme="minorHAnsi" w:cs="Calibri"/>
        </w:rPr>
        <w:tab/>
        <w:t xml:space="preserve">Court </w:t>
      </w:r>
      <w:r w:rsidRPr="00591CAD">
        <w:rPr>
          <w:rFonts w:cs="Calibri"/>
          <w:bCs/>
          <w:iCs/>
          <w:u w:val="single"/>
        </w:rPr>
        <w:t>consider</w:t>
      </w:r>
      <w:r w:rsidR="00F67203">
        <w:rPr>
          <w:rFonts w:cs="Calibri"/>
          <w:bCs/>
          <w:iCs/>
          <w:u w:val="single"/>
        </w:rPr>
        <w:t>ed</w:t>
      </w:r>
      <w:r w:rsidRPr="00591CAD"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and </w:t>
      </w:r>
      <w:r w:rsidRPr="00EC571B">
        <w:rPr>
          <w:rFonts w:cs="Calibri"/>
          <w:bCs/>
          <w:iCs/>
          <w:u w:val="single"/>
        </w:rPr>
        <w:t>note</w:t>
      </w:r>
      <w:r w:rsidR="00F67203">
        <w:rPr>
          <w:rFonts w:cs="Calibri"/>
          <w:bCs/>
          <w:iCs/>
          <w:u w:val="single"/>
        </w:rPr>
        <w:t>d</w:t>
      </w:r>
      <w:r>
        <w:rPr>
          <w:rFonts w:cs="Calibri"/>
          <w:bCs/>
          <w:iCs/>
        </w:rPr>
        <w:t xml:space="preserve"> </w:t>
      </w:r>
      <w:r w:rsidRPr="00292120">
        <w:rPr>
          <w:rFonts w:cs="Calibri"/>
          <w:bCs/>
          <w:iCs/>
        </w:rPr>
        <w:t xml:space="preserve">the </w:t>
      </w:r>
      <w:r>
        <w:rPr>
          <w:rFonts w:cs="Calibri"/>
          <w:bCs/>
          <w:iCs/>
        </w:rPr>
        <w:t>A</w:t>
      </w:r>
      <w:r w:rsidRPr="00292120">
        <w:rPr>
          <w:rFonts w:cs="Calibri"/>
          <w:bCs/>
          <w:iCs/>
        </w:rPr>
        <w:t xml:space="preserve">nnual </w:t>
      </w:r>
      <w:r>
        <w:rPr>
          <w:rFonts w:cs="Calibri"/>
          <w:bCs/>
          <w:iCs/>
        </w:rPr>
        <w:t>P</w:t>
      </w:r>
      <w:r w:rsidRPr="00292120">
        <w:rPr>
          <w:rFonts w:cs="Calibri"/>
          <w:bCs/>
          <w:iCs/>
        </w:rPr>
        <w:t xml:space="preserve">erformance </w:t>
      </w:r>
      <w:r>
        <w:rPr>
          <w:rFonts w:cs="Calibri"/>
          <w:bCs/>
          <w:iCs/>
        </w:rPr>
        <w:t>R</w:t>
      </w:r>
      <w:r w:rsidRPr="00292120">
        <w:rPr>
          <w:rFonts w:cs="Calibri"/>
          <w:bCs/>
          <w:iCs/>
        </w:rPr>
        <w:t>eport</w:t>
      </w:r>
      <w:r>
        <w:rPr>
          <w:rFonts w:cs="Calibri"/>
          <w:bCs/>
          <w:iCs/>
        </w:rPr>
        <w:t>.</w:t>
      </w:r>
      <w:r w:rsidRPr="00292120">
        <w:rPr>
          <w:rFonts w:cs="Calibri"/>
          <w:bCs/>
          <w:iCs/>
        </w:rPr>
        <w:t xml:space="preserve"> </w:t>
      </w:r>
    </w:p>
    <w:p w14:paraId="5AEE36A8" w14:textId="77777777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7FB3C3BD" w14:textId="10187E02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CITY DEAL</w:t>
      </w:r>
    </w:p>
    <w:p w14:paraId="2E691B67" w14:textId="6FE58B76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>
        <w:rPr>
          <w:rFonts w:cs="Calibri"/>
          <w:b/>
          <w:iCs/>
        </w:rPr>
        <w:t>8</w:t>
      </w:r>
      <w:r w:rsidR="00F67203">
        <w:rPr>
          <w:rFonts w:cs="Calibri"/>
          <w:b/>
          <w:iCs/>
        </w:rPr>
        <w:t>.</w:t>
      </w:r>
      <w:r w:rsidRPr="00D243B6">
        <w:rPr>
          <w:rFonts w:cs="Calibri"/>
          <w:b/>
          <w:iCs/>
        </w:rPr>
        <w:tab/>
        <w:t>CITY DEAL</w:t>
      </w:r>
      <w:r w:rsidRPr="00D243B6">
        <w:rPr>
          <w:rFonts w:cs="Calibri"/>
          <w:b/>
          <w:iCs/>
        </w:rPr>
        <w:tab/>
      </w:r>
      <w:proofErr w:type="gramStart"/>
      <w:r w:rsidRPr="00D243B6">
        <w:rPr>
          <w:rFonts w:cs="Calibri"/>
          <w:b/>
          <w:iCs/>
        </w:rPr>
        <w:t>UC(</w:t>
      </w:r>
      <w:proofErr w:type="gramEnd"/>
      <w:r w:rsidRPr="00D243B6">
        <w:rPr>
          <w:rFonts w:cs="Calibri"/>
          <w:b/>
          <w:iCs/>
        </w:rPr>
        <w:t>20/21)</w:t>
      </w:r>
      <w:r>
        <w:rPr>
          <w:rFonts w:cs="Calibri"/>
          <w:b/>
          <w:iCs/>
        </w:rPr>
        <w:t>5</w:t>
      </w:r>
    </w:p>
    <w:p w14:paraId="241B1191" w14:textId="208B3720" w:rsidR="001D79C5" w:rsidRPr="00971321" w:rsidRDefault="00F67203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 xml:space="preserve">Members received </w:t>
      </w:r>
      <w:r w:rsidR="001D79C5" w:rsidRPr="0086453E">
        <w:rPr>
          <w:rFonts w:cs="Calibri"/>
          <w:bCs/>
          <w:iCs/>
        </w:rPr>
        <w:t xml:space="preserve">an update </w:t>
      </w:r>
      <w:r>
        <w:rPr>
          <w:rFonts w:cs="Calibri"/>
          <w:bCs/>
          <w:iCs/>
        </w:rPr>
        <w:t xml:space="preserve">on progress to date with the </w:t>
      </w:r>
      <w:r w:rsidRPr="00971321">
        <w:rPr>
          <w:rFonts w:asciiTheme="minorHAnsi" w:hAnsiTheme="minorHAnsi" w:cs="Calibri"/>
          <w:bCs/>
        </w:rPr>
        <w:t>Stirling and Clackmannanshire Ci</w:t>
      </w:r>
      <w:r>
        <w:rPr>
          <w:rFonts w:asciiTheme="minorHAnsi" w:hAnsiTheme="minorHAnsi" w:cs="Calibri"/>
          <w:bCs/>
        </w:rPr>
        <w:t>ty</w:t>
      </w:r>
      <w:r w:rsidRPr="00971321">
        <w:rPr>
          <w:rFonts w:asciiTheme="minorHAnsi" w:hAnsiTheme="minorHAnsi" w:cs="Calibri"/>
          <w:bCs/>
        </w:rPr>
        <w:t xml:space="preserve"> Region Deal</w:t>
      </w:r>
      <w:r>
        <w:rPr>
          <w:rFonts w:asciiTheme="minorHAnsi" w:hAnsiTheme="minorHAnsi" w:cs="Calibri"/>
          <w:bCs/>
        </w:rPr>
        <w:t xml:space="preserve"> </w:t>
      </w:r>
      <w:r>
        <w:rPr>
          <w:rFonts w:cs="Calibri"/>
          <w:bCs/>
          <w:iCs/>
        </w:rPr>
        <w:t xml:space="preserve">and discussed </w:t>
      </w:r>
      <w:r w:rsidR="001D79C5" w:rsidRPr="00971321">
        <w:rPr>
          <w:rFonts w:asciiTheme="minorHAnsi" w:hAnsiTheme="minorHAnsi" w:cs="Calibri"/>
          <w:bCs/>
        </w:rPr>
        <w:t>in particular actions taken to progress the University-led projects</w:t>
      </w:r>
      <w:r w:rsidR="009A68D2">
        <w:rPr>
          <w:rFonts w:asciiTheme="minorHAnsi" w:hAnsiTheme="minorHAnsi" w:cs="Calibri"/>
          <w:bCs/>
        </w:rPr>
        <w:t xml:space="preserve"> and the benefits to be delivered through Phase 1 of Scotland’s International Environment </w:t>
      </w:r>
      <w:r w:rsidR="009A68D2">
        <w:rPr>
          <w:rFonts w:asciiTheme="minorHAnsi" w:hAnsiTheme="minorHAnsi" w:cs="Calibri"/>
          <w:bCs/>
        </w:rPr>
        <w:lastRenderedPageBreak/>
        <w:t>Centre (SIEC) and additional opportunities including the proposed International Marine Science and Environment Centre at Ardrossan</w:t>
      </w:r>
      <w:r>
        <w:rPr>
          <w:rFonts w:asciiTheme="minorHAnsi" w:hAnsiTheme="minorHAnsi" w:cs="Calibri"/>
          <w:bCs/>
        </w:rPr>
        <w:t xml:space="preserve">. </w:t>
      </w:r>
      <w:r w:rsidR="001D79C5" w:rsidRPr="00971321">
        <w:rPr>
          <w:rFonts w:asciiTheme="minorHAnsi" w:hAnsiTheme="minorHAnsi" w:cs="Calibri"/>
          <w:bCs/>
        </w:rPr>
        <w:t xml:space="preserve"> </w:t>
      </w:r>
    </w:p>
    <w:p w14:paraId="3D7DA950" w14:textId="46EAB130" w:rsidR="001D79C5" w:rsidRDefault="001D79C5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</w:p>
    <w:p w14:paraId="363EC3DB" w14:textId="47F44F8B" w:rsidR="009A68D2" w:rsidRDefault="00D2391B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The Chair </w:t>
      </w:r>
      <w:r w:rsidR="004274E2">
        <w:rPr>
          <w:rFonts w:asciiTheme="minorHAnsi" w:hAnsiTheme="minorHAnsi" w:cs="Calibri"/>
          <w:bCs/>
        </w:rPr>
        <w:t xml:space="preserve">congratulated the team on work undertaken for the full business case of </w:t>
      </w:r>
      <w:r w:rsidR="009A68D2">
        <w:rPr>
          <w:rFonts w:asciiTheme="minorHAnsi" w:hAnsiTheme="minorHAnsi" w:cs="Calibri"/>
          <w:bCs/>
        </w:rPr>
        <w:t xml:space="preserve">SIEC to be approved by the Stirling and Clackmannanshire City Region Deal Joint Committee on 7 September 2021.   </w:t>
      </w:r>
    </w:p>
    <w:p w14:paraId="2A92E8E7" w14:textId="17CE8B69" w:rsidR="009A68D2" w:rsidRDefault="009A68D2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</w:p>
    <w:p w14:paraId="5E9F47F2" w14:textId="13DAEAC5" w:rsidR="00D2391B" w:rsidRDefault="009A68D2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Members discussed </w:t>
      </w:r>
      <w:r w:rsidR="00040F8B">
        <w:rPr>
          <w:rFonts w:asciiTheme="minorHAnsi" w:hAnsiTheme="minorHAnsi" w:cs="Calibri"/>
          <w:bCs/>
        </w:rPr>
        <w:t xml:space="preserve">governance arrangements for the </w:t>
      </w:r>
      <w:r w:rsidR="00D2391B">
        <w:rPr>
          <w:rFonts w:asciiTheme="minorHAnsi" w:hAnsiTheme="minorHAnsi" w:cs="Calibri"/>
          <w:bCs/>
        </w:rPr>
        <w:t>programme</w:t>
      </w:r>
      <w:r>
        <w:rPr>
          <w:rFonts w:asciiTheme="minorHAnsi" w:hAnsiTheme="minorHAnsi" w:cs="Calibri"/>
          <w:bCs/>
        </w:rPr>
        <w:t xml:space="preserve"> </w:t>
      </w:r>
      <w:r w:rsidR="00D2391B">
        <w:rPr>
          <w:rFonts w:asciiTheme="minorHAnsi" w:hAnsiTheme="minorHAnsi" w:cs="Calibri"/>
          <w:bCs/>
        </w:rPr>
        <w:t xml:space="preserve">and targets </w:t>
      </w:r>
      <w:r w:rsidR="00040F8B">
        <w:rPr>
          <w:rFonts w:asciiTheme="minorHAnsi" w:hAnsiTheme="minorHAnsi" w:cs="Calibri"/>
          <w:bCs/>
        </w:rPr>
        <w:t xml:space="preserve">indicated </w:t>
      </w:r>
      <w:r w:rsidR="00D2391B">
        <w:rPr>
          <w:rFonts w:asciiTheme="minorHAnsi" w:hAnsiTheme="minorHAnsi" w:cs="Calibri"/>
          <w:bCs/>
        </w:rPr>
        <w:t xml:space="preserve">for the completion and approval of subsequent business cases.  It was confirmed a review of timescales was being undertaken and that revised timelines would be brought back to Court for consideration. </w:t>
      </w:r>
    </w:p>
    <w:p w14:paraId="0ED99F71" w14:textId="77777777" w:rsidR="00D2391B" w:rsidRDefault="00D2391B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Calibri"/>
          <w:bCs/>
        </w:rPr>
      </w:pPr>
    </w:p>
    <w:p w14:paraId="18D54066" w14:textId="194A9E15" w:rsidR="001D79C5" w:rsidRPr="00971321" w:rsidRDefault="009A68D2" w:rsidP="004F73FB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cs="Calibri"/>
          <w:b/>
          <w:iCs/>
        </w:rPr>
      </w:pPr>
      <w:r>
        <w:rPr>
          <w:rFonts w:asciiTheme="minorHAnsi" w:hAnsiTheme="minorHAnsi" w:cs="Calibri"/>
          <w:bCs/>
        </w:rPr>
        <w:t xml:space="preserve">Court </w:t>
      </w:r>
      <w:r w:rsidRPr="00D2391B">
        <w:rPr>
          <w:rFonts w:asciiTheme="minorHAnsi" w:hAnsiTheme="minorHAnsi" w:cs="Calibri"/>
          <w:bCs/>
          <w:u w:val="single"/>
        </w:rPr>
        <w:t>n</w:t>
      </w:r>
      <w:r w:rsidRPr="009A68D2">
        <w:rPr>
          <w:rFonts w:asciiTheme="minorHAnsi" w:hAnsiTheme="minorHAnsi" w:cs="Calibri"/>
          <w:bCs/>
          <w:u w:val="single"/>
        </w:rPr>
        <w:t>oted</w:t>
      </w:r>
      <w:r w:rsidRPr="009A68D2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the report. </w:t>
      </w:r>
      <w:r w:rsidR="001D79C5" w:rsidRPr="00971321">
        <w:rPr>
          <w:rFonts w:asciiTheme="minorHAnsi" w:hAnsiTheme="minorHAnsi" w:cs="Calibri"/>
          <w:bCs/>
        </w:rPr>
        <w:t xml:space="preserve"> </w:t>
      </w:r>
    </w:p>
    <w:p w14:paraId="481456D5" w14:textId="3D2E4426" w:rsidR="001D79C5" w:rsidRPr="00D2391B" w:rsidRDefault="00D2391B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 w:rsidRPr="00D2391B">
        <w:rPr>
          <w:rFonts w:cs="Calibri"/>
          <w:b/>
          <w:iCs/>
        </w:rPr>
        <w:tab/>
      </w:r>
      <w:r>
        <w:rPr>
          <w:rFonts w:cs="Calibri"/>
          <w:b/>
          <w:iCs/>
        </w:rPr>
        <w:tab/>
      </w:r>
      <w:r w:rsidRPr="00D2391B">
        <w:rPr>
          <w:rFonts w:cs="Calibri"/>
          <w:b/>
          <w:iCs/>
        </w:rPr>
        <w:t>[ACTION: Executive Director of Research and Knowledge Transfer]</w:t>
      </w:r>
    </w:p>
    <w:p w14:paraId="52DAD38E" w14:textId="0FD1D158" w:rsidR="00D2391B" w:rsidRPr="00FC6DFC" w:rsidRDefault="00D2391B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  <w:highlight w:val="cyan"/>
        </w:rPr>
      </w:pPr>
    </w:p>
    <w:p w14:paraId="4F53F1AF" w14:textId="77777777" w:rsidR="001D79C5" w:rsidRPr="00756C82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cs="Calibri"/>
          <w:b/>
          <w:i/>
        </w:rPr>
        <w:t>GOVERNANCE</w:t>
      </w:r>
      <w:r w:rsidRPr="00CC2B9E">
        <w:rPr>
          <w:rFonts w:asciiTheme="minorHAnsi" w:hAnsiTheme="minorHAnsi" w:cs="Calibri"/>
          <w:bCs/>
          <w:strike/>
        </w:rPr>
        <w:t xml:space="preserve"> </w:t>
      </w:r>
    </w:p>
    <w:p w14:paraId="626BAB47" w14:textId="542411E5" w:rsidR="001D79C5" w:rsidRPr="00292120" w:rsidRDefault="001D79C5" w:rsidP="001D79C5">
      <w:pPr>
        <w:tabs>
          <w:tab w:val="left" w:pos="709"/>
          <w:tab w:val="right" w:pos="9026"/>
          <w:tab w:val="right" w:pos="9072"/>
        </w:tabs>
        <w:spacing w:after="0" w:line="240" w:lineRule="auto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</w:rPr>
        <w:t>9</w:t>
      </w:r>
      <w:r w:rsidR="00F67203">
        <w:rPr>
          <w:rFonts w:asciiTheme="minorHAnsi" w:hAnsiTheme="minorHAnsi" w:cs="Calibri"/>
          <w:b/>
        </w:rPr>
        <w:t>.</w:t>
      </w:r>
      <w:r w:rsidRPr="00292120">
        <w:rPr>
          <w:rFonts w:asciiTheme="minorHAnsi" w:hAnsiTheme="minorHAnsi" w:cs="Calibri"/>
          <w:b/>
        </w:rPr>
        <w:tab/>
        <w:t>ANNUAL REPORT ON INSTITUTIONAL-LED REVIEW</w:t>
      </w:r>
      <w:r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ab/>
      </w:r>
      <w:proofErr w:type="gramStart"/>
      <w:r w:rsidRPr="00292120">
        <w:rPr>
          <w:rFonts w:asciiTheme="minorHAnsi" w:hAnsiTheme="minorHAnsi" w:cs="Calibri"/>
          <w:b/>
        </w:rPr>
        <w:t>UC(</w:t>
      </w:r>
      <w:proofErr w:type="gramEnd"/>
      <w:r w:rsidRPr="00292120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6</w:t>
      </w:r>
    </w:p>
    <w:p w14:paraId="65319B12" w14:textId="216D3A0D" w:rsidR="001D79C5" w:rsidRPr="00971321" w:rsidRDefault="00F67203" w:rsidP="00040F8B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Calibri"/>
        </w:rPr>
        <w:t>Members received an</w:t>
      </w:r>
      <w:r w:rsidR="00040F8B">
        <w:rPr>
          <w:rFonts w:asciiTheme="minorHAnsi" w:hAnsiTheme="minorHAnsi" w:cs="Calibri"/>
        </w:rPr>
        <w:t xml:space="preserve"> overview of </w:t>
      </w:r>
      <w:r w:rsidR="00040F8B" w:rsidRPr="00040F8B">
        <w:rPr>
          <w:rFonts w:asciiTheme="minorHAnsi" w:hAnsiTheme="minorHAnsi" w:cs="Calibri"/>
        </w:rPr>
        <w:t xml:space="preserve">the </w:t>
      </w:r>
      <w:r w:rsidR="00040F8B" w:rsidRPr="00040F8B">
        <w:rPr>
          <w:rFonts w:asciiTheme="minorHAnsi" w:hAnsiTheme="minorHAnsi" w:cs="Arial"/>
        </w:rPr>
        <w:t>annual submission to the Scottish Funding Council (SFC) on our Institution-Led Review activities for the academic year 2020/21.</w:t>
      </w:r>
      <w:r w:rsidR="00040F8B">
        <w:rPr>
          <w:rFonts w:asciiTheme="minorHAnsi" w:hAnsiTheme="minorHAnsi" w:cs="Arial"/>
        </w:rPr>
        <w:t xml:space="preserve">  It was confirmed that the report</w:t>
      </w:r>
      <w:r w:rsidR="00040F8B" w:rsidRPr="00040F8B">
        <w:rPr>
          <w:rFonts w:asciiTheme="minorHAnsi" w:hAnsiTheme="minorHAnsi" w:cs="Arial"/>
        </w:rPr>
        <w:t xml:space="preserve"> was </w:t>
      </w:r>
      <w:r w:rsidR="001D79C5" w:rsidRPr="00040F8B">
        <w:rPr>
          <w:rFonts w:asciiTheme="minorHAnsi" w:hAnsiTheme="minorHAnsi" w:cs="Arial"/>
        </w:rPr>
        <w:t>composed according to the guidelines, requirements, and standards as set down by the SFC on reporting Institution-Led Review activity.</w:t>
      </w:r>
    </w:p>
    <w:p w14:paraId="3B16E7BE" w14:textId="77777777" w:rsidR="001D79C5" w:rsidRPr="00971321" w:rsidRDefault="001D79C5" w:rsidP="00040F8B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="Calibri"/>
        </w:rPr>
      </w:pPr>
    </w:p>
    <w:p w14:paraId="78C53491" w14:textId="2B5CF7AD" w:rsidR="001D79C5" w:rsidRDefault="001D79C5" w:rsidP="001D79C5">
      <w:pPr>
        <w:tabs>
          <w:tab w:val="left" w:pos="709"/>
          <w:tab w:val="right" w:pos="9026"/>
          <w:tab w:val="right" w:pos="9072"/>
        </w:tabs>
        <w:spacing w:after="0" w:line="240" w:lineRule="auto"/>
        <w:ind w:left="709"/>
        <w:contextualSpacing/>
        <w:rPr>
          <w:rFonts w:asciiTheme="minorHAnsi" w:hAnsiTheme="minorHAnsi" w:cs="Calibri"/>
        </w:rPr>
      </w:pPr>
      <w:r w:rsidRPr="00971321">
        <w:rPr>
          <w:rFonts w:asciiTheme="minorHAnsi" w:hAnsiTheme="minorHAnsi" w:cs="Calibri"/>
        </w:rPr>
        <w:t xml:space="preserve">Court </w:t>
      </w:r>
      <w:r w:rsidRPr="00971321">
        <w:rPr>
          <w:rFonts w:asciiTheme="minorHAnsi" w:hAnsiTheme="minorHAnsi" w:cs="Calibri"/>
          <w:u w:val="single"/>
        </w:rPr>
        <w:t>approve</w:t>
      </w:r>
      <w:r w:rsidR="00F67203">
        <w:rPr>
          <w:rFonts w:asciiTheme="minorHAnsi" w:hAnsiTheme="minorHAnsi" w:cs="Calibri"/>
          <w:u w:val="single"/>
        </w:rPr>
        <w:t>d</w:t>
      </w:r>
      <w:r w:rsidRPr="00971321">
        <w:rPr>
          <w:rFonts w:asciiTheme="minorHAnsi" w:hAnsiTheme="minorHAnsi" w:cs="Calibri"/>
        </w:rPr>
        <w:t xml:space="preserve"> the Annual Report on the Institutional Led Review for SFC</w:t>
      </w:r>
      <w:r>
        <w:rPr>
          <w:rFonts w:asciiTheme="minorHAnsi" w:hAnsiTheme="minorHAnsi" w:cs="Calibri"/>
        </w:rPr>
        <w:t xml:space="preserve"> and sign</w:t>
      </w:r>
      <w:r w:rsidR="00F67203">
        <w:rPr>
          <w:rFonts w:asciiTheme="minorHAnsi" w:hAnsiTheme="minorHAnsi" w:cs="Calibri"/>
        </w:rPr>
        <w:t>ed</w:t>
      </w:r>
      <w:r>
        <w:rPr>
          <w:rFonts w:asciiTheme="minorHAnsi" w:hAnsiTheme="minorHAnsi" w:cs="Calibri"/>
        </w:rPr>
        <w:t xml:space="preserve"> off the ‘Annual Statement of Assurance’ in the name of the Chair of Court. </w:t>
      </w:r>
      <w:r>
        <w:rPr>
          <w:rFonts w:asciiTheme="minorHAnsi" w:hAnsiTheme="minorHAnsi" w:cs="Calibri"/>
        </w:rPr>
        <w:tab/>
      </w:r>
    </w:p>
    <w:p w14:paraId="407EA8FE" w14:textId="77777777" w:rsidR="001D79C5" w:rsidRDefault="001D79C5" w:rsidP="001D79C5">
      <w:pPr>
        <w:tabs>
          <w:tab w:val="left" w:pos="709"/>
          <w:tab w:val="right" w:pos="9026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>
        <w:rPr>
          <w:rFonts w:asciiTheme="minorHAnsi" w:hAnsiTheme="minorHAnsi" w:cs="Calibri"/>
        </w:rPr>
        <w:tab/>
      </w:r>
    </w:p>
    <w:p w14:paraId="5625FE1A" w14:textId="77777777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66AF2">
        <w:rPr>
          <w:rFonts w:cs="Calibri"/>
          <w:b/>
          <w:i/>
        </w:rPr>
        <w:t xml:space="preserve">POLICY </w:t>
      </w:r>
      <w:r w:rsidRPr="00931515">
        <w:rPr>
          <w:rFonts w:cs="Calibri"/>
          <w:b/>
          <w:i/>
        </w:rPr>
        <w:t>AND PLAN</w:t>
      </w:r>
      <w:r>
        <w:rPr>
          <w:rFonts w:cs="Calibri"/>
          <w:b/>
          <w:i/>
        </w:rPr>
        <w:t xml:space="preserve"> </w:t>
      </w:r>
      <w:r w:rsidRPr="00266AF2">
        <w:rPr>
          <w:rFonts w:cs="Calibri"/>
          <w:b/>
          <w:i/>
        </w:rPr>
        <w:t>DEVELOPMENTS</w:t>
      </w:r>
    </w:p>
    <w:p w14:paraId="0A91FF85" w14:textId="14A696A0" w:rsidR="001D79C5" w:rsidRPr="00266AF2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  <w:r>
        <w:rPr>
          <w:rFonts w:cs="Calibri"/>
          <w:b/>
          <w:iCs/>
        </w:rPr>
        <w:t>10</w:t>
      </w:r>
      <w:r w:rsidRPr="00266AF2">
        <w:rPr>
          <w:rFonts w:cs="Calibri"/>
          <w:b/>
          <w:iCs/>
        </w:rPr>
        <w:t>.</w:t>
      </w:r>
      <w:r w:rsidRPr="00266AF2">
        <w:rPr>
          <w:rFonts w:cs="Calibri"/>
          <w:b/>
          <w:iCs/>
        </w:rPr>
        <w:tab/>
      </w:r>
      <w:r>
        <w:rPr>
          <w:rFonts w:cs="Calibri"/>
          <w:b/>
          <w:iCs/>
        </w:rPr>
        <w:t xml:space="preserve">BUSINESS </w:t>
      </w:r>
      <w:r w:rsidRPr="00266AF2">
        <w:rPr>
          <w:rFonts w:cs="Calibri"/>
          <w:b/>
          <w:iCs/>
        </w:rPr>
        <w:t>TRAVEL AND EXPENSES POLICY</w:t>
      </w:r>
      <w:r w:rsidRPr="00266AF2">
        <w:rPr>
          <w:rFonts w:cs="Calibri"/>
          <w:b/>
          <w:iCs/>
        </w:rPr>
        <w:tab/>
      </w:r>
      <w:proofErr w:type="gramStart"/>
      <w:r w:rsidRPr="00266AF2">
        <w:rPr>
          <w:rFonts w:asciiTheme="minorHAnsi" w:hAnsiTheme="minorHAnsi" w:cs="Calibri"/>
          <w:b/>
        </w:rPr>
        <w:t>UC(</w:t>
      </w:r>
      <w:proofErr w:type="gramEnd"/>
      <w:r w:rsidRPr="00266AF2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7</w:t>
      </w:r>
    </w:p>
    <w:p w14:paraId="5F06D6DB" w14:textId="7A455255" w:rsidR="00BA3EA0" w:rsidRPr="00BA3EA0" w:rsidRDefault="00F67203" w:rsidP="00E97DAE">
      <w:pPr>
        <w:pStyle w:val="EYBodytextwithparaspace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A3EA0">
        <w:rPr>
          <w:rFonts w:asciiTheme="minorHAnsi" w:hAnsiTheme="minorHAnsi" w:cstheme="minorHAnsi"/>
          <w:bCs/>
          <w:iCs/>
          <w:sz w:val="22"/>
          <w:szCs w:val="22"/>
        </w:rPr>
        <w:t xml:space="preserve">Members received </w:t>
      </w:r>
      <w:r w:rsidR="00040F8B" w:rsidRPr="00BA3EA0">
        <w:rPr>
          <w:rFonts w:asciiTheme="minorHAnsi" w:hAnsiTheme="minorHAnsi" w:cstheme="minorHAnsi"/>
          <w:bCs/>
          <w:iCs/>
          <w:sz w:val="22"/>
          <w:szCs w:val="22"/>
        </w:rPr>
        <w:t xml:space="preserve">an introduction to </w:t>
      </w:r>
      <w:r w:rsidR="001D79C5" w:rsidRPr="00BA3EA0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Pr="00BA3EA0">
        <w:rPr>
          <w:rFonts w:asciiTheme="minorHAnsi" w:hAnsiTheme="minorHAnsi" w:cstheme="minorHAnsi"/>
          <w:bCs/>
          <w:sz w:val="22"/>
          <w:szCs w:val="22"/>
        </w:rPr>
        <w:t xml:space="preserve">revised </w:t>
      </w:r>
      <w:r w:rsidR="001D79C5" w:rsidRPr="00BA3EA0">
        <w:rPr>
          <w:rFonts w:asciiTheme="minorHAnsi" w:hAnsiTheme="minorHAnsi" w:cstheme="minorHAnsi"/>
          <w:bCs/>
          <w:sz w:val="22"/>
          <w:szCs w:val="22"/>
        </w:rPr>
        <w:t>Business Travel and Expenses Policy</w:t>
      </w:r>
      <w:r w:rsidR="00040F8B" w:rsidRPr="00BA3EA0">
        <w:rPr>
          <w:rFonts w:asciiTheme="minorHAnsi" w:hAnsiTheme="minorHAnsi" w:cstheme="minorHAnsi"/>
          <w:bCs/>
          <w:sz w:val="22"/>
          <w:szCs w:val="22"/>
        </w:rPr>
        <w:t xml:space="preserve"> that included </w:t>
      </w:r>
      <w:r w:rsidR="00CC1BF8">
        <w:rPr>
          <w:rFonts w:asciiTheme="minorHAnsi" w:hAnsiTheme="minorHAnsi" w:cstheme="minorHAnsi"/>
          <w:bCs/>
          <w:sz w:val="22"/>
          <w:szCs w:val="22"/>
        </w:rPr>
        <w:t xml:space="preserve">updates </w:t>
      </w:r>
      <w:r w:rsidR="00040F8B" w:rsidRPr="00BA3EA0">
        <w:rPr>
          <w:rFonts w:asciiTheme="minorHAnsi" w:hAnsiTheme="minorHAnsi" w:cstheme="minorHAnsi"/>
          <w:bCs/>
          <w:sz w:val="22"/>
          <w:szCs w:val="22"/>
        </w:rPr>
        <w:t xml:space="preserve">to ensure </w:t>
      </w:r>
      <w:r w:rsidR="00BA3EA0" w:rsidRPr="00BA3EA0">
        <w:rPr>
          <w:rFonts w:asciiTheme="minorHAnsi" w:hAnsiTheme="minorHAnsi" w:cstheme="minorHAnsi"/>
          <w:sz w:val="22"/>
          <w:szCs w:val="22"/>
        </w:rPr>
        <w:t>the University met its duty of care in respect of the welfare and safety of its staff and students whilst travelling on University business</w:t>
      </w:r>
      <w:r w:rsidR="007833B3">
        <w:rPr>
          <w:rFonts w:asciiTheme="minorHAnsi" w:hAnsiTheme="minorHAnsi" w:cstheme="minorHAnsi"/>
          <w:sz w:val="22"/>
          <w:szCs w:val="22"/>
        </w:rPr>
        <w:t>,</w:t>
      </w:r>
      <w:r w:rsidR="00BA3EA0" w:rsidRPr="00BA3EA0">
        <w:rPr>
          <w:rFonts w:asciiTheme="minorHAnsi" w:hAnsiTheme="minorHAnsi" w:cstheme="minorHAnsi"/>
          <w:sz w:val="22"/>
          <w:szCs w:val="22"/>
        </w:rPr>
        <w:t xml:space="preserve"> and the environmental impact of business travel </w:t>
      </w:r>
      <w:r w:rsidR="00BA3EA0">
        <w:rPr>
          <w:rFonts w:asciiTheme="minorHAnsi" w:hAnsiTheme="minorHAnsi" w:cstheme="minorHAnsi"/>
          <w:sz w:val="22"/>
          <w:szCs w:val="22"/>
        </w:rPr>
        <w:t xml:space="preserve">was </w:t>
      </w:r>
      <w:r w:rsidR="00BA3EA0" w:rsidRPr="00BA3EA0">
        <w:rPr>
          <w:rFonts w:asciiTheme="minorHAnsi" w:hAnsiTheme="minorHAnsi" w:cstheme="minorHAnsi"/>
          <w:sz w:val="22"/>
          <w:szCs w:val="22"/>
        </w:rPr>
        <w:t>given appropriate consideration.</w:t>
      </w:r>
    </w:p>
    <w:p w14:paraId="43591BD2" w14:textId="3F70366F" w:rsidR="59B2A6FD" w:rsidRPr="0013039F" w:rsidRDefault="59B2A6FD" w:rsidP="00F62911">
      <w:pPr>
        <w:pStyle w:val="ListParagraph"/>
        <w:spacing w:line="240" w:lineRule="auto"/>
        <w:ind w:left="709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0013039F">
        <w:rPr>
          <w:rFonts w:asciiTheme="minorHAnsi" w:eastAsiaTheme="minorEastAsia" w:hAnsiTheme="minorHAnsi" w:cstheme="minorBidi"/>
          <w:color w:val="000000" w:themeColor="text1"/>
        </w:rPr>
        <w:t xml:space="preserve">Members discussed </w:t>
      </w:r>
      <w:r w:rsidR="3479C40E" w:rsidRPr="0013039F">
        <w:rPr>
          <w:rFonts w:asciiTheme="minorHAnsi" w:eastAsiaTheme="minorEastAsia" w:hAnsiTheme="minorHAnsi" w:cstheme="minorBidi"/>
          <w:color w:val="000000" w:themeColor="text1"/>
        </w:rPr>
        <w:t xml:space="preserve">the potential for </w:t>
      </w:r>
      <w:r w:rsidRPr="0013039F">
        <w:rPr>
          <w:rFonts w:asciiTheme="minorHAnsi" w:eastAsiaTheme="minorEastAsia" w:hAnsiTheme="minorHAnsi" w:cstheme="minorBidi"/>
          <w:color w:val="000000" w:themeColor="text1"/>
        </w:rPr>
        <w:t>provision within the policy for staff with caring responsibilities, and the</w:t>
      </w:r>
      <w:r w:rsidR="7D8C6309" w:rsidRPr="0013039F">
        <w:rPr>
          <w:rFonts w:asciiTheme="minorHAnsi" w:eastAsiaTheme="minorEastAsia" w:hAnsiTheme="minorHAnsi" w:cstheme="minorBidi"/>
          <w:color w:val="000000" w:themeColor="text1"/>
        </w:rPr>
        <w:t xml:space="preserve"> implications for individuals in terms of benefit in kind tax.</w:t>
      </w:r>
      <w:r w:rsidR="3AF18636" w:rsidRPr="0013039F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="268CF375" w:rsidRPr="0013039F">
        <w:rPr>
          <w:rFonts w:asciiTheme="minorHAnsi" w:eastAsiaTheme="minorEastAsia" w:hAnsiTheme="minorHAnsi" w:cstheme="minorBidi"/>
          <w:color w:val="000000" w:themeColor="text1"/>
        </w:rPr>
        <w:t>Members also discussed the</w:t>
      </w:r>
      <w:r w:rsidR="3AF18636" w:rsidRPr="0013039F">
        <w:rPr>
          <w:rFonts w:asciiTheme="minorHAnsi" w:eastAsiaTheme="minorEastAsia" w:hAnsiTheme="minorHAnsi" w:cstheme="minorBidi"/>
          <w:color w:val="000000" w:themeColor="text1"/>
        </w:rPr>
        <w:t xml:space="preserve"> need to maintain a proportionate approach to the assessment of risk associated with business travel and </w:t>
      </w:r>
      <w:r w:rsidR="5ECB4242" w:rsidRPr="0013039F">
        <w:rPr>
          <w:rFonts w:asciiTheme="minorHAnsi" w:eastAsiaTheme="minorEastAsia" w:hAnsiTheme="minorHAnsi" w:cstheme="minorBidi"/>
          <w:color w:val="000000" w:themeColor="text1"/>
        </w:rPr>
        <w:t>sought assurance on procedures for the assessment of risk with regard to cyber security when individuals were travelling on University business.</w:t>
      </w:r>
    </w:p>
    <w:p w14:paraId="21C590E7" w14:textId="3E764C74" w:rsidR="001D79C5" w:rsidRPr="00266AF2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 w:rsidRPr="007033F1">
        <w:rPr>
          <w:rFonts w:cs="Calibri"/>
          <w:bCs/>
          <w:iCs/>
        </w:rPr>
        <w:tab/>
        <w:t xml:space="preserve">Court </w:t>
      </w:r>
      <w:r w:rsidRPr="007033F1">
        <w:rPr>
          <w:rFonts w:cs="Calibri"/>
          <w:bCs/>
          <w:iCs/>
          <w:u w:val="single"/>
        </w:rPr>
        <w:t>approve</w:t>
      </w:r>
      <w:r w:rsidR="00F67203">
        <w:rPr>
          <w:rFonts w:cs="Calibri"/>
          <w:bCs/>
          <w:iCs/>
          <w:u w:val="single"/>
        </w:rPr>
        <w:t>d</w:t>
      </w:r>
      <w:r w:rsidRPr="007033F1">
        <w:rPr>
          <w:rFonts w:cs="Calibri"/>
          <w:bCs/>
          <w:iCs/>
        </w:rPr>
        <w:t xml:space="preserve"> the revised </w:t>
      </w:r>
      <w:r>
        <w:rPr>
          <w:rFonts w:cs="Calibri"/>
          <w:bCs/>
          <w:iCs/>
        </w:rPr>
        <w:t>Business Travel and Ex</w:t>
      </w:r>
      <w:r w:rsidRPr="007033F1">
        <w:rPr>
          <w:rFonts w:cs="Calibri"/>
          <w:bCs/>
          <w:iCs/>
        </w:rPr>
        <w:t xml:space="preserve">penses </w:t>
      </w:r>
      <w:r>
        <w:rPr>
          <w:rFonts w:cs="Calibri"/>
          <w:bCs/>
          <w:iCs/>
        </w:rPr>
        <w:t>P</w:t>
      </w:r>
      <w:r w:rsidRPr="007033F1">
        <w:rPr>
          <w:rFonts w:cs="Calibri"/>
          <w:bCs/>
          <w:iCs/>
        </w:rPr>
        <w:t>olicy.</w:t>
      </w:r>
      <w:r w:rsidRPr="00266AF2">
        <w:rPr>
          <w:rFonts w:cs="Calibri"/>
          <w:bCs/>
          <w:iCs/>
        </w:rPr>
        <w:t xml:space="preserve"> </w:t>
      </w:r>
    </w:p>
    <w:p w14:paraId="3354C0B7" w14:textId="77777777" w:rsidR="001D79C5" w:rsidRPr="00266AF2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5571FB4E" w14:textId="30219D91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292120">
        <w:rPr>
          <w:rFonts w:cs="Calibri"/>
          <w:b/>
          <w:iCs/>
        </w:rPr>
        <w:t>1</w:t>
      </w:r>
      <w:r>
        <w:rPr>
          <w:rFonts w:cs="Calibri"/>
          <w:b/>
          <w:iCs/>
        </w:rPr>
        <w:t>1</w:t>
      </w:r>
      <w:r w:rsidR="00F67203">
        <w:rPr>
          <w:rFonts w:cs="Calibri"/>
          <w:b/>
          <w:iCs/>
        </w:rPr>
        <w:t>.</w:t>
      </w:r>
      <w:r w:rsidRPr="00292120">
        <w:rPr>
          <w:rFonts w:cs="Calibri"/>
          <w:b/>
          <w:iCs/>
        </w:rPr>
        <w:tab/>
      </w:r>
      <w:r>
        <w:rPr>
          <w:rFonts w:cs="Calibri"/>
          <w:b/>
          <w:iCs/>
        </w:rPr>
        <w:t>STANDBY AND CALL OUT PAYMENTS POLICY</w:t>
      </w:r>
      <w:r>
        <w:rPr>
          <w:rFonts w:cs="Calibri"/>
          <w:b/>
          <w:i/>
        </w:rPr>
        <w:tab/>
      </w:r>
      <w:proofErr w:type="gramStart"/>
      <w:r w:rsidRPr="00724AB4">
        <w:rPr>
          <w:rFonts w:cs="Calibri"/>
          <w:b/>
          <w:iCs/>
        </w:rPr>
        <w:t>UC(</w:t>
      </w:r>
      <w:proofErr w:type="gramEnd"/>
      <w:r w:rsidRPr="00724AB4">
        <w:rPr>
          <w:rFonts w:cs="Calibri"/>
          <w:b/>
          <w:iCs/>
        </w:rPr>
        <w:t>20/21)</w:t>
      </w:r>
      <w:r>
        <w:rPr>
          <w:rFonts w:cs="Calibri"/>
          <w:b/>
          <w:iCs/>
        </w:rPr>
        <w:t>8</w:t>
      </w:r>
    </w:p>
    <w:p w14:paraId="4772ED55" w14:textId="77777777" w:rsidR="00EF7D10" w:rsidRDefault="00F67203" w:rsidP="00EF7D10">
      <w:pPr>
        <w:tabs>
          <w:tab w:val="left" w:pos="709"/>
          <w:tab w:val="right" w:pos="9072"/>
        </w:tabs>
        <w:spacing w:after="0" w:line="240" w:lineRule="auto"/>
        <w:ind w:left="709"/>
        <w:contextualSpacing/>
        <w:jc w:val="both"/>
        <w:rPr>
          <w:rFonts w:eastAsia="Arial"/>
        </w:rPr>
      </w:pPr>
      <w:r>
        <w:rPr>
          <w:rFonts w:cstheme="minorHAnsi"/>
        </w:rPr>
        <w:t xml:space="preserve">Members received an overview the </w:t>
      </w:r>
      <w:r w:rsidR="001D79C5">
        <w:rPr>
          <w:rFonts w:cstheme="minorHAnsi"/>
        </w:rPr>
        <w:t xml:space="preserve">Staff on Call Policy. </w:t>
      </w:r>
      <w:r>
        <w:rPr>
          <w:rFonts w:cstheme="minorHAnsi"/>
        </w:rPr>
        <w:t xml:space="preserve"> It was confirmed t</w:t>
      </w:r>
      <w:r w:rsidR="001D79C5" w:rsidRPr="0002081B">
        <w:rPr>
          <w:rFonts w:eastAsia="Arial" w:cstheme="minorHAnsi"/>
          <w:color w:val="000000" w:themeColor="text1"/>
        </w:rPr>
        <w:t xml:space="preserve">he purpose of </w:t>
      </w:r>
      <w:r>
        <w:rPr>
          <w:rFonts w:eastAsia="Arial" w:cstheme="minorHAnsi"/>
          <w:color w:val="000000" w:themeColor="text1"/>
        </w:rPr>
        <w:t xml:space="preserve">the </w:t>
      </w:r>
      <w:r w:rsidR="001D79C5" w:rsidRPr="0002081B">
        <w:rPr>
          <w:rFonts w:eastAsia="Arial" w:cstheme="minorHAnsi"/>
          <w:color w:val="000000" w:themeColor="text1"/>
        </w:rPr>
        <w:t xml:space="preserve">policy </w:t>
      </w:r>
      <w:r>
        <w:rPr>
          <w:rFonts w:eastAsia="Arial" w:cstheme="minorHAnsi"/>
          <w:color w:val="000000" w:themeColor="text1"/>
        </w:rPr>
        <w:t xml:space="preserve">was </w:t>
      </w:r>
      <w:r w:rsidR="001D79C5" w:rsidRPr="0002081B">
        <w:rPr>
          <w:rFonts w:eastAsia="Arial" w:cstheme="minorHAnsi"/>
          <w:color w:val="000000" w:themeColor="text1"/>
        </w:rPr>
        <w:t xml:space="preserve">to ensure that key University services can </w:t>
      </w:r>
      <w:r w:rsidR="00EF7D10">
        <w:rPr>
          <w:rFonts w:eastAsia="Arial" w:cstheme="minorHAnsi"/>
          <w:color w:val="000000" w:themeColor="text1"/>
        </w:rPr>
        <w:t xml:space="preserve">be </w:t>
      </w:r>
      <w:r w:rsidR="001D79C5" w:rsidRPr="0002081B">
        <w:rPr>
          <w:rFonts w:eastAsia="Arial" w:cstheme="minorHAnsi"/>
          <w:color w:val="000000" w:themeColor="text1"/>
        </w:rPr>
        <w:t xml:space="preserve">adequately supported out of core hours </w:t>
      </w:r>
      <w:r w:rsidR="00EF7D10">
        <w:rPr>
          <w:rFonts w:eastAsia="Arial" w:cstheme="minorHAnsi"/>
          <w:color w:val="000000" w:themeColor="text1"/>
        </w:rPr>
        <w:t xml:space="preserve">and that this </w:t>
      </w:r>
      <w:r w:rsidR="00EF7D10">
        <w:rPr>
          <w:rFonts w:eastAsia="Arial"/>
        </w:rPr>
        <w:t xml:space="preserve">applied </w:t>
      </w:r>
      <w:r w:rsidR="00EF7D10" w:rsidRPr="00097D1B">
        <w:rPr>
          <w:rFonts w:eastAsia="Arial"/>
        </w:rPr>
        <w:t xml:space="preserve">to a limited number of staff who work as part of an on-call rota to support defined business critical services outside of normal operating hours. </w:t>
      </w:r>
      <w:r w:rsidR="00EF7D10">
        <w:t xml:space="preserve">  </w:t>
      </w:r>
      <w:r w:rsidR="001D79C5" w:rsidRPr="00097D1B">
        <w:rPr>
          <w:rFonts w:eastAsia="Arial"/>
        </w:rPr>
        <w:t xml:space="preserve">The </w:t>
      </w:r>
      <w:r>
        <w:rPr>
          <w:rFonts w:eastAsia="Arial"/>
        </w:rPr>
        <w:t xml:space="preserve">aim of the </w:t>
      </w:r>
      <w:r w:rsidR="001D79C5" w:rsidRPr="00097D1B">
        <w:rPr>
          <w:rFonts w:eastAsia="Arial"/>
        </w:rPr>
        <w:t>policy</w:t>
      </w:r>
      <w:r>
        <w:rPr>
          <w:rFonts w:eastAsia="Arial"/>
        </w:rPr>
        <w:t xml:space="preserve"> was </w:t>
      </w:r>
      <w:r w:rsidR="001D79C5" w:rsidRPr="00097D1B">
        <w:rPr>
          <w:rFonts w:eastAsia="Arial"/>
        </w:rPr>
        <w:t>to standardise and simplify standby and call out arrangements and provide a coherent approach across the University.</w:t>
      </w:r>
      <w:r w:rsidR="001D79C5">
        <w:rPr>
          <w:rFonts w:eastAsia="Arial"/>
        </w:rPr>
        <w:t xml:space="preserve">  </w:t>
      </w:r>
    </w:p>
    <w:p w14:paraId="3F1B5D65" w14:textId="7C258BD9" w:rsidR="001D79C5" w:rsidRPr="004D39CA" w:rsidRDefault="001D79C5" w:rsidP="00EF7D10">
      <w:pPr>
        <w:tabs>
          <w:tab w:val="left" w:pos="709"/>
          <w:tab w:val="right" w:pos="9072"/>
        </w:tabs>
        <w:spacing w:after="0" w:line="240" w:lineRule="auto"/>
        <w:ind w:left="709"/>
        <w:contextualSpacing/>
        <w:rPr>
          <w:rFonts w:eastAsiaTheme="minorEastAsia" w:cstheme="minorHAnsi"/>
        </w:rPr>
      </w:pPr>
      <w:r w:rsidRPr="00097D1B">
        <w:rPr>
          <w:rFonts w:eastAsia="Arial"/>
        </w:rPr>
        <w:t xml:space="preserve"> </w:t>
      </w:r>
    </w:p>
    <w:p w14:paraId="17DACA67" w14:textId="4FE21CAF" w:rsidR="001D79C5" w:rsidRPr="00CF1714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Cs/>
          <w:iCs/>
        </w:rPr>
      </w:pPr>
      <w:r>
        <w:rPr>
          <w:rFonts w:cs="Calibri"/>
          <w:bCs/>
          <w:iCs/>
        </w:rPr>
        <w:tab/>
      </w:r>
      <w:r w:rsidRPr="007033F1">
        <w:rPr>
          <w:rFonts w:cs="Calibri"/>
          <w:bCs/>
          <w:iCs/>
        </w:rPr>
        <w:t xml:space="preserve">Court </w:t>
      </w:r>
      <w:r w:rsidRPr="007033F1">
        <w:rPr>
          <w:rFonts w:cs="Calibri"/>
          <w:bCs/>
          <w:iCs/>
          <w:u w:val="single"/>
        </w:rPr>
        <w:t>approve</w:t>
      </w:r>
      <w:r w:rsidR="00EF7D10">
        <w:rPr>
          <w:rFonts w:cs="Calibri"/>
          <w:bCs/>
          <w:iCs/>
          <w:u w:val="single"/>
        </w:rPr>
        <w:t>d</w:t>
      </w:r>
      <w:r w:rsidRPr="007033F1">
        <w:rPr>
          <w:rFonts w:cs="Calibri"/>
          <w:bCs/>
          <w:iCs/>
        </w:rPr>
        <w:t xml:space="preserve"> the </w:t>
      </w:r>
      <w:r>
        <w:rPr>
          <w:rFonts w:cs="Calibri"/>
          <w:bCs/>
          <w:iCs/>
        </w:rPr>
        <w:t>Standby and Call Out Payments Policy</w:t>
      </w:r>
      <w:r w:rsidRPr="007033F1">
        <w:rPr>
          <w:rFonts w:cs="Calibri"/>
          <w:bCs/>
          <w:iCs/>
        </w:rPr>
        <w:t>.</w:t>
      </w:r>
      <w:r w:rsidRPr="00CF1714">
        <w:rPr>
          <w:rFonts w:cs="Calibri"/>
          <w:bCs/>
          <w:iCs/>
        </w:rPr>
        <w:t xml:space="preserve"> </w:t>
      </w:r>
    </w:p>
    <w:p w14:paraId="3F939BAC" w14:textId="0BFAEB9F" w:rsidR="001D79C5" w:rsidRPr="0013039F" w:rsidRDefault="001D79C5" w:rsidP="001D79C5">
      <w:pPr>
        <w:spacing w:after="0" w:line="240" w:lineRule="auto"/>
        <w:rPr>
          <w:rFonts w:eastAsia="Times New Roman"/>
          <w:b/>
          <w:bCs/>
          <w:color w:val="201F1E"/>
          <w:shd w:val="clear" w:color="auto" w:fill="FFFFFF"/>
          <w:lang w:eastAsia="en-GB"/>
        </w:rPr>
      </w:pP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  <w:t xml:space="preserve">                                        </w:t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  <w:t xml:space="preserve">             </w:t>
      </w:r>
    </w:p>
    <w:p w14:paraId="1CC7EF8D" w14:textId="7DC60102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ind w:left="700" w:hanging="700"/>
        <w:contextualSpacing/>
        <w:rPr>
          <w:rFonts w:asciiTheme="minorHAnsi" w:hAnsiTheme="minorHAnsi" w:cs="Calibri"/>
          <w:bCs/>
        </w:rPr>
      </w:pPr>
      <w:r w:rsidRPr="00931515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2</w:t>
      </w:r>
      <w:r w:rsidR="00EF7D10">
        <w:rPr>
          <w:rFonts w:asciiTheme="minorHAnsi" w:hAnsiTheme="minorHAnsi" w:cs="Calibri"/>
          <w:b/>
        </w:rPr>
        <w:t>.</w:t>
      </w:r>
      <w:r>
        <w:rPr>
          <w:rFonts w:asciiTheme="minorHAnsi" w:hAnsiTheme="minorHAnsi" w:cs="Calibri"/>
          <w:bCs/>
        </w:rPr>
        <w:tab/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 xml:space="preserve">RESEARCH CONCORDAT </w:t>
      </w:r>
      <w:r>
        <w:rPr>
          <w:rFonts w:eastAsia="Times New Roman"/>
          <w:b/>
          <w:bCs/>
          <w:color w:val="201F1E"/>
          <w:shd w:val="clear" w:color="auto" w:fill="FFFFFF"/>
          <w:lang w:eastAsia="en-GB"/>
        </w:rPr>
        <w:tab/>
      </w:r>
      <w:proofErr w:type="gramStart"/>
      <w:r w:rsidRPr="00D243B6">
        <w:rPr>
          <w:rFonts w:asciiTheme="minorHAnsi" w:hAnsiTheme="minorHAnsi" w:cs="Calibri"/>
          <w:b/>
        </w:rPr>
        <w:t>UC(</w:t>
      </w:r>
      <w:proofErr w:type="gramEnd"/>
      <w:r w:rsidRPr="00D243B6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9</w:t>
      </w:r>
    </w:p>
    <w:p w14:paraId="485BB0D4" w14:textId="3E65E6D5" w:rsidR="001D79C5" w:rsidRPr="0013039F" w:rsidRDefault="001D79C5" w:rsidP="0039186C">
      <w:pPr>
        <w:tabs>
          <w:tab w:val="left" w:pos="709"/>
          <w:tab w:val="right" w:pos="9072"/>
        </w:tabs>
        <w:spacing w:after="0" w:line="240" w:lineRule="auto"/>
        <w:ind w:left="700" w:hanging="700"/>
        <w:contextualSpacing/>
        <w:jc w:val="both"/>
        <w:rPr>
          <w:color w:val="000000" w:themeColor="text1"/>
        </w:rPr>
      </w:pPr>
      <w:r>
        <w:rPr>
          <w:rFonts w:asciiTheme="minorHAnsi" w:hAnsiTheme="minorHAnsi" w:cs="Calibri"/>
          <w:bCs/>
        </w:rPr>
        <w:tab/>
      </w:r>
      <w:r>
        <w:rPr>
          <w:rFonts w:asciiTheme="minorHAnsi" w:hAnsiTheme="minorHAnsi" w:cs="Calibri"/>
          <w:bCs/>
        </w:rPr>
        <w:tab/>
      </w:r>
      <w:r w:rsidR="4C4B95AC" w:rsidRPr="0E469D01">
        <w:rPr>
          <w:rFonts w:asciiTheme="minorHAnsi" w:hAnsiTheme="minorHAnsi" w:cs="Calibri"/>
        </w:rPr>
        <w:t xml:space="preserve">Members received an introduction to the </w:t>
      </w:r>
      <w:r w:rsidR="4A4C6EA1" w:rsidRPr="0E469D01">
        <w:rPr>
          <w:rFonts w:cstheme="minorBidi"/>
        </w:rPr>
        <w:t>Research Concordat paper</w:t>
      </w:r>
      <w:r w:rsidR="37200A0B" w:rsidRPr="0E469D01">
        <w:rPr>
          <w:rFonts w:cstheme="minorBidi"/>
        </w:rPr>
        <w:t xml:space="preserve"> and discussed the w</w:t>
      </w:r>
      <w:r w:rsidR="4A4C6EA1" w:rsidRPr="0039186C">
        <w:t xml:space="preserve">ork undertaken to deliver on </w:t>
      </w:r>
      <w:r w:rsidR="37200A0B" w:rsidRPr="0039186C">
        <w:t xml:space="preserve">the </w:t>
      </w:r>
      <w:r w:rsidR="4A4C6EA1" w:rsidRPr="0039186C">
        <w:t>commitment</w:t>
      </w:r>
      <w:r w:rsidR="37200A0B" w:rsidRPr="0039186C">
        <w:t>s</w:t>
      </w:r>
      <w:r w:rsidR="4A4C6EA1" w:rsidRPr="0039186C">
        <w:t xml:space="preserve"> to </w:t>
      </w:r>
      <w:r w:rsidR="0B04A013" w:rsidRPr="0039186C">
        <w:t>s</w:t>
      </w:r>
      <w:r w:rsidR="4A4C6EA1" w:rsidRPr="0039186C">
        <w:t xml:space="preserve">upport the </w:t>
      </w:r>
      <w:r w:rsidR="0B04A013" w:rsidRPr="0039186C">
        <w:t>c</w:t>
      </w:r>
      <w:r w:rsidR="4A4C6EA1" w:rsidRPr="0039186C">
        <w:t xml:space="preserve">areer </w:t>
      </w:r>
      <w:r w:rsidR="0B04A013" w:rsidRPr="0039186C">
        <w:t>d</w:t>
      </w:r>
      <w:r w:rsidR="4A4C6EA1" w:rsidRPr="0039186C">
        <w:t xml:space="preserve">evelopment of </w:t>
      </w:r>
      <w:r w:rsidR="0B04A013" w:rsidRPr="0039186C">
        <w:t>r</w:t>
      </w:r>
      <w:r w:rsidR="4A4C6EA1" w:rsidRPr="0039186C">
        <w:t>esearchers</w:t>
      </w:r>
      <w:r w:rsidR="0B04A013" w:rsidRPr="0039186C">
        <w:t xml:space="preserve">.  </w:t>
      </w:r>
      <w:r w:rsidR="79FFA191" w:rsidRPr="0013039F">
        <w:rPr>
          <w:shd w:val="clear" w:color="auto" w:fill="FFFFFF" w:themeFill="background1"/>
        </w:rPr>
        <w:lastRenderedPageBreak/>
        <w:t xml:space="preserve">This took into account </w:t>
      </w:r>
      <w:r w:rsidR="29D22AC7" w:rsidRPr="0013039F">
        <w:rPr>
          <w:color w:val="000000" w:themeColor="text1"/>
          <w:shd w:val="clear" w:color="auto" w:fill="FFFFFF" w:themeFill="background1"/>
        </w:rPr>
        <w:t xml:space="preserve">the impact </w:t>
      </w:r>
      <w:r w:rsidR="130C12F9" w:rsidRPr="0013039F">
        <w:rPr>
          <w:color w:val="000000" w:themeColor="text1"/>
          <w:shd w:val="clear" w:color="auto" w:fill="FFFFFF" w:themeFill="background1"/>
        </w:rPr>
        <w:t xml:space="preserve">that </w:t>
      </w:r>
      <w:r w:rsidR="66146B77" w:rsidRPr="0013039F">
        <w:rPr>
          <w:color w:val="000000" w:themeColor="text1"/>
          <w:shd w:val="clear" w:color="auto" w:fill="FFFFFF" w:themeFill="background1"/>
        </w:rPr>
        <w:t xml:space="preserve">the Covid-19 pandemic has had on this group </w:t>
      </w:r>
      <w:r w:rsidR="241DF139" w:rsidRPr="0013039F">
        <w:rPr>
          <w:color w:val="000000" w:themeColor="text1"/>
          <w:shd w:val="clear" w:color="auto" w:fill="FFFFFF" w:themeFill="background1"/>
        </w:rPr>
        <w:t>in particular.</w:t>
      </w:r>
      <w:r w:rsidR="241DF139" w:rsidRPr="0013039F">
        <w:rPr>
          <w:color w:val="000000" w:themeColor="text1"/>
        </w:rPr>
        <w:t xml:space="preserve"> </w:t>
      </w:r>
      <w:r w:rsidR="4A4C6EA1" w:rsidRPr="0013039F">
        <w:rPr>
          <w:color w:val="000000" w:themeColor="text1"/>
        </w:rPr>
        <w:t xml:space="preserve"> </w:t>
      </w:r>
    </w:p>
    <w:p w14:paraId="009B9C93" w14:textId="77777777" w:rsidR="001D79C5" w:rsidRPr="001B490A" w:rsidRDefault="001D79C5" w:rsidP="001D79C5">
      <w:pPr>
        <w:pStyle w:val="ListParagraph"/>
        <w:jc w:val="both"/>
        <w:rPr>
          <w:sz w:val="8"/>
          <w:szCs w:val="8"/>
        </w:rPr>
      </w:pPr>
    </w:p>
    <w:p w14:paraId="6CD25890" w14:textId="5282C4D5" w:rsidR="001D79C5" w:rsidRPr="00266AF2" w:rsidRDefault="001D79C5" w:rsidP="001D79C5">
      <w:pPr>
        <w:tabs>
          <w:tab w:val="left" w:pos="709"/>
          <w:tab w:val="right" w:pos="9072"/>
        </w:tabs>
        <w:spacing w:after="0" w:line="240" w:lineRule="auto"/>
        <w:ind w:left="700" w:hanging="700"/>
        <w:contextualSpacing/>
        <w:rPr>
          <w:rFonts w:asciiTheme="minorHAnsi" w:hAnsiTheme="minorHAnsi" w:cs="Calibri"/>
          <w:bCs/>
        </w:rPr>
      </w:pPr>
      <w:r w:rsidRPr="007033F1">
        <w:rPr>
          <w:rFonts w:asciiTheme="minorHAnsi" w:hAnsiTheme="minorHAnsi" w:cs="Calibri"/>
          <w:bCs/>
        </w:rPr>
        <w:tab/>
      </w:r>
      <w:r w:rsidRPr="0039186C">
        <w:rPr>
          <w:rFonts w:asciiTheme="minorHAnsi" w:hAnsiTheme="minorHAnsi" w:cs="Calibri"/>
          <w:bCs/>
        </w:rPr>
        <w:t xml:space="preserve">Court </w:t>
      </w:r>
      <w:r w:rsidRPr="0039186C">
        <w:rPr>
          <w:rFonts w:asciiTheme="minorHAnsi" w:hAnsiTheme="minorHAnsi" w:cs="Calibri"/>
          <w:bCs/>
          <w:u w:val="single"/>
        </w:rPr>
        <w:t>note</w:t>
      </w:r>
      <w:r w:rsidR="00EF7D10" w:rsidRPr="0039186C">
        <w:rPr>
          <w:rFonts w:asciiTheme="minorHAnsi" w:hAnsiTheme="minorHAnsi" w:cs="Calibri"/>
          <w:bCs/>
          <w:u w:val="single"/>
        </w:rPr>
        <w:t>d</w:t>
      </w:r>
      <w:r w:rsidRPr="0039186C">
        <w:rPr>
          <w:rFonts w:asciiTheme="minorHAnsi" w:hAnsiTheme="minorHAnsi" w:cs="Calibri"/>
          <w:bCs/>
        </w:rPr>
        <w:t xml:space="preserve"> the contents of the paper.</w:t>
      </w:r>
    </w:p>
    <w:p w14:paraId="5C9C901C" w14:textId="77777777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Cs/>
        </w:rPr>
      </w:pPr>
    </w:p>
    <w:p w14:paraId="7D517B07" w14:textId="77777777" w:rsidR="001D79C5" w:rsidRPr="0039186C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39186C">
        <w:rPr>
          <w:rFonts w:cs="Calibri"/>
          <w:b/>
          <w:i/>
        </w:rPr>
        <w:t>ACTIVITY UPDATES</w:t>
      </w:r>
    </w:p>
    <w:p w14:paraId="39E9BB39" w14:textId="55ED2E86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3</w:t>
      </w:r>
      <w:r w:rsidRPr="00D243B6">
        <w:rPr>
          <w:rFonts w:asciiTheme="minorHAnsi" w:hAnsiTheme="minorHAnsi" w:cs="Calibri"/>
          <w:b/>
        </w:rPr>
        <w:t>.</w:t>
      </w:r>
      <w:r w:rsidRPr="00D243B6">
        <w:rPr>
          <w:rFonts w:asciiTheme="minorHAnsi" w:hAnsiTheme="minorHAnsi" w:cs="Calibri"/>
          <w:b/>
        </w:rPr>
        <w:tab/>
        <w:t>STUDENTS’ UNION UPDATE</w:t>
      </w:r>
      <w:r w:rsidRPr="00D243B6">
        <w:rPr>
          <w:rFonts w:asciiTheme="minorHAnsi" w:hAnsiTheme="minorHAnsi" w:cs="Calibri"/>
          <w:b/>
        </w:rPr>
        <w:tab/>
      </w:r>
      <w:proofErr w:type="gramStart"/>
      <w:r w:rsidRPr="00D243B6">
        <w:rPr>
          <w:rFonts w:asciiTheme="minorHAnsi" w:hAnsiTheme="minorHAnsi" w:cs="Calibri"/>
          <w:b/>
        </w:rPr>
        <w:t>UC(</w:t>
      </w:r>
      <w:proofErr w:type="gramEnd"/>
      <w:r w:rsidRPr="00D243B6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10</w:t>
      </w:r>
    </w:p>
    <w:p w14:paraId="2DC1ECEA" w14:textId="3FC8DCE4" w:rsidR="001D79C5" w:rsidRDefault="00EF7D10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Members received an update </w:t>
      </w:r>
      <w:r w:rsidR="001D79C5" w:rsidRPr="003E25F3">
        <w:rPr>
          <w:rFonts w:asciiTheme="minorHAnsi" w:hAnsiTheme="minorHAnsi" w:cs="Calibri"/>
        </w:rPr>
        <w:t>on recent Students’ Union activities</w:t>
      </w:r>
      <w:r>
        <w:rPr>
          <w:rFonts w:asciiTheme="minorHAnsi" w:hAnsiTheme="minorHAnsi" w:cs="Calibri"/>
        </w:rPr>
        <w:t xml:space="preserve"> including </w:t>
      </w:r>
      <w:r w:rsidR="001D79C5">
        <w:rPr>
          <w:rFonts w:asciiTheme="minorHAnsi" w:hAnsiTheme="minorHAnsi" w:cstheme="minorHAnsi"/>
        </w:rPr>
        <w:t>freshers and welcome events, academic representation</w:t>
      </w:r>
      <w:r w:rsidR="00555307">
        <w:rPr>
          <w:rFonts w:asciiTheme="minorHAnsi" w:hAnsiTheme="minorHAnsi" w:cstheme="minorHAnsi"/>
        </w:rPr>
        <w:t xml:space="preserve">, </w:t>
      </w:r>
      <w:r w:rsidR="001D79C5">
        <w:rPr>
          <w:rFonts w:asciiTheme="minorHAnsi" w:hAnsiTheme="minorHAnsi" w:cstheme="minorHAnsi"/>
        </w:rPr>
        <w:t>activities and opportunities for volunteering</w:t>
      </w:r>
      <w:r w:rsidR="00555307">
        <w:rPr>
          <w:rFonts w:asciiTheme="minorHAnsi" w:hAnsiTheme="minorHAnsi" w:cstheme="minorHAnsi"/>
        </w:rPr>
        <w:t xml:space="preserve">, </w:t>
      </w:r>
      <w:r w:rsidR="0036554A">
        <w:rPr>
          <w:rFonts w:asciiTheme="minorHAnsi" w:hAnsiTheme="minorHAnsi" w:cstheme="minorHAnsi"/>
        </w:rPr>
        <w:t xml:space="preserve">guidance </w:t>
      </w:r>
      <w:r w:rsidR="00FA688B">
        <w:rPr>
          <w:rFonts w:asciiTheme="minorHAnsi" w:hAnsiTheme="minorHAnsi" w:cstheme="minorHAnsi"/>
        </w:rPr>
        <w:t xml:space="preserve">issued to </w:t>
      </w:r>
      <w:r w:rsidR="0036554A">
        <w:rPr>
          <w:rFonts w:asciiTheme="minorHAnsi" w:hAnsiTheme="minorHAnsi" w:cstheme="minorHAnsi"/>
        </w:rPr>
        <w:t xml:space="preserve">sports clubs on </w:t>
      </w:r>
      <w:r w:rsidR="00FA688B">
        <w:rPr>
          <w:rFonts w:asciiTheme="minorHAnsi" w:hAnsiTheme="minorHAnsi" w:cstheme="minorHAnsi"/>
        </w:rPr>
        <w:t xml:space="preserve">the </w:t>
      </w:r>
      <w:r w:rsidR="00F274F6">
        <w:rPr>
          <w:rFonts w:asciiTheme="minorHAnsi" w:hAnsiTheme="minorHAnsi" w:cstheme="minorHAnsi"/>
        </w:rPr>
        <w:t xml:space="preserve">assessment of risk </w:t>
      </w:r>
      <w:r w:rsidR="00523F2C">
        <w:rPr>
          <w:rFonts w:asciiTheme="minorHAnsi" w:hAnsiTheme="minorHAnsi" w:cstheme="minorHAnsi"/>
        </w:rPr>
        <w:t>and the de-colonise the curriculum project</w:t>
      </w:r>
      <w:r w:rsidR="001D79C5">
        <w:rPr>
          <w:rFonts w:asciiTheme="minorHAnsi" w:hAnsiTheme="minorHAnsi" w:cstheme="minorHAnsi"/>
        </w:rPr>
        <w:t>.</w:t>
      </w:r>
      <w:r w:rsidR="00712B1D">
        <w:rPr>
          <w:rFonts w:asciiTheme="minorHAnsi" w:hAnsiTheme="minorHAnsi" w:cstheme="minorHAnsi"/>
        </w:rPr>
        <w:t xml:space="preserve">  The Chair </w:t>
      </w:r>
      <w:r w:rsidR="000B0D8F">
        <w:rPr>
          <w:rFonts w:asciiTheme="minorHAnsi" w:hAnsiTheme="minorHAnsi" w:cstheme="minorHAnsi"/>
        </w:rPr>
        <w:t xml:space="preserve">thanked </w:t>
      </w:r>
      <w:r w:rsidR="0009125D">
        <w:rPr>
          <w:rFonts w:asciiTheme="minorHAnsi" w:hAnsiTheme="minorHAnsi" w:cstheme="minorHAnsi"/>
        </w:rPr>
        <w:t xml:space="preserve">the Students’ Union </w:t>
      </w:r>
      <w:r w:rsidR="00B75744">
        <w:rPr>
          <w:rFonts w:asciiTheme="minorHAnsi" w:hAnsiTheme="minorHAnsi" w:cstheme="minorHAnsi"/>
        </w:rPr>
        <w:t xml:space="preserve">and students </w:t>
      </w:r>
      <w:r w:rsidR="00A551AB">
        <w:rPr>
          <w:rFonts w:asciiTheme="minorHAnsi" w:hAnsiTheme="minorHAnsi" w:cstheme="minorHAnsi"/>
        </w:rPr>
        <w:t xml:space="preserve">for </w:t>
      </w:r>
      <w:r w:rsidR="001B7965">
        <w:rPr>
          <w:rFonts w:asciiTheme="minorHAnsi" w:hAnsiTheme="minorHAnsi" w:cstheme="minorHAnsi"/>
        </w:rPr>
        <w:t>prov</w:t>
      </w:r>
      <w:r w:rsidR="00D8447C">
        <w:rPr>
          <w:rFonts w:asciiTheme="minorHAnsi" w:hAnsiTheme="minorHAnsi" w:cstheme="minorHAnsi"/>
        </w:rPr>
        <w:t xml:space="preserve">iding </w:t>
      </w:r>
      <w:r w:rsidR="00312D25">
        <w:rPr>
          <w:rFonts w:asciiTheme="minorHAnsi" w:hAnsiTheme="minorHAnsi" w:cstheme="minorHAnsi"/>
        </w:rPr>
        <w:t xml:space="preserve">support and donations to </w:t>
      </w:r>
      <w:r w:rsidR="00F81FA0">
        <w:rPr>
          <w:rFonts w:asciiTheme="minorHAnsi" w:hAnsiTheme="minorHAnsi" w:cstheme="minorHAnsi"/>
        </w:rPr>
        <w:t>Start Up Stirling</w:t>
      </w:r>
      <w:r w:rsidR="006F17D7">
        <w:rPr>
          <w:rFonts w:asciiTheme="minorHAnsi" w:hAnsiTheme="minorHAnsi" w:cstheme="minorHAnsi"/>
        </w:rPr>
        <w:t xml:space="preserve">. </w:t>
      </w:r>
      <w:r w:rsidR="009858F1">
        <w:rPr>
          <w:rFonts w:asciiTheme="minorHAnsi" w:hAnsiTheme="minorHAnsi" w:cstheme="minorHAnsi"/>
        </w:rPr>
        <w:t xml:space="preserve"> </w:t>
      </w:r>
      <w:r w:rsidR="00F81FA0">
        <w:rPr>
          <w:rFonts w:asciiTheme="minorHAnsi" w:hAnsiTheme="minorHAnsi" w:cstheme="minorHAnsi"/>
        </w:rPr>
        <w:t xml:space="preserve"> </w:t>
      </w:r>
      <w:r w:rsidR="001D79C5">
        <w:rPr>
          <w:rFonts w:asciiTheme="minorHAnsi" w:hAnsiTheme="minorHAnsi" w:cstheme="minorHAnsi"/>
        </w:rPr>
        <w:t xml:space="preserve"> </w:t>
      </w:r>
    </w:p>
    <w:p w14:paraId="03AA8B0D" w14:textId="77777777" w:rsidR="001D79C5" w:rsidRPr="003E25F3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40A5347C" w14:textId="46D9DACC" w:rsidR="001D79C5" w:rsidRPr="003E25F3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 w:rsidRPr="003E25F3">
        <w:rPr>
          <w:rFonts w:asciiTheme="minorHAnsi" w:hAnsiTheme="minorHAnsi" w:cs="Calibri"/>
        </w:rPr>
        <w:t xml:space="preserve">Court </w:t>
      </w:r>
      <w:r w:rsidRPr="003E25F3">
        <w:rPr>
          <w:rFonts w:asciiTheme="minorHAnsi" w:hAnsiTheme="minorHAnsi" w:cs="Calibri"/>
          <w:u w:val="single"/>
        </w:rPr>
        <w:t>note</w:t>
      </w:r>
      <w:r w:rsidR="00EF7D10">
        <w:rPr>
          <w:rFonts w:asciiTheme="minorHAnsi" w:hAnsiTheme="minorHAnsi" w:cs="Calibri"/>
          <w:u w:val="single"/>
        </w:rPr>
        <w:t>d</w:t>
      </w:r>
      <w:r w:rsidRPr="003E25F3">
        <w:rPr>
          <w:rFonts w:asciiTheme="minorHAnsi" w:hAnsiTheme="minorHAnsi" w:cs="Calibri"/>
        </w:rPr>
        <w:t xml:space="preserve"> the activity update from the Students’ Union.</w:t>
      </w:r>
    </w:p>
    <w:p w14:paraId="1CDB4CD2" w14:textId="77777777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</w:p>
    <w:p w14:paraId="241ECA9D" w14:textId="071E9F94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4</w:t>
      </w:r>
      <w:r w:rsidRPr="00D243B6">
        <w:rPr>
          <w:rFonts w:asciiTheme="minorHAnsi" w:hAnsiTheme="minorHAnsi" w:cs="Calibri"/>
          <w:b/>
        </w:rPr>
        <w:t>.</w:t>
      </w:r>
      <w:r w:rsidRPr="00D243B6">
        <w:rPr>
          <w:rFonts w:asciiTheme="minorHAnsi" w:hAnsiTheme="minorHAnsi" w:cs="Calibri"/>
          <w:b/>
        </w:rPr>
        <w:tab/>
        <w:t>STAFF AND EMPLOYMENT UPDATE</w:t>
      </w:r>
      <w:r w:rsidRPr="00D243B6">
        <w:rPr>
          <w:rFonts w:asciiTheme="minorHAnsi" w:hAnsiTheme="minorHAnsi" w:cs="Calibri"/>
          <w:b/>
        </w:rPr>
        <w:tab/>
      </w:r>
      <w:proofErr w:type="gramStart"/>
      <w:r w:rsidRPr="00D243B6">
        <w:rPr>
          <w:rFonts w:asciiTheme="minorHAnsi" w:hAnsiTheme="minorHAnsi" w:cs="Calibri"/>
          <w:b/>
        </w:rPr>
        <w:t>UC(</w:t>
      </w:r>
      <w:proofErr w:type="gramEnd"/>
      <w:r w:rsidRPr="00D243B6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11</w:t>
      </w:r>
    </w:p>
    <w:p w14:paraId="6AB82A22" w14:textId="3758071E" w:rsidR="001D79C5" w:rsidRDefault="00EF7D10" w:rsidP="00EF7D10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Members received an update </w:t>
      </w:r>
      <w:r w:rsidR="001D79C5">
        <w:rPr>
          <w:rFonts w:asciiTheme="minorHAnsi" w:hAnsiTheme="minorHAnsi" w:cs="Calibri"/>
        </w:rPr>
        <w:t>on staff and employment matters</w:t>
      </w:r>
      <w:r>
        <w:rPr>
          <w:rFonts w:asciiTheme="minorHAnsi" w:hAnsiTheme="minorHAnsi" w:cs="Calibri"/>
        </w:rPr>
        <w:t xml:space="preserve"> including </w:t>
      </w:r>
      <w:r w:rsidR="001D79C5">
        <w:rPr>
          <w:rFonts w:asciiTheme="minorHAnsi" w:hAnsiTheme="minorHAnsi" w:cs="Calibri"/>
        </w:rPr>
        <w:t xml:space="preserve">the Furlough and Coronavirus Job Retention Scheme (CJRS), USS Pension Scheme, the Pay Award 2021/22 and the Agile Working Framework. </w:t>
      </w:r>
    </w:p>
    <w:p w14:paraId="363539BC" w14:textId="77777777" w:rsidR="001D79C5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6AD74402" w14:textId="3A5A5991" w:rsidR="00D25A1C" w:rsidRDefault="00D25A1C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Members discussed in particular </w:t>
      </w:r>
      <w:r w:rsidR="000D4A32">
        <w:rPr>
          <w:rFonts w:asciiTheme="minorHAnsi" w:hAnsiTheme="minorHAnsi" w:cs="Calibri"/>
        </w:rPr>
        <w:t xml:space="preserve">the uptake </w:t>
      </w:r>
      <w:r w:rsidR="00B00FDE">
        <w:rPr>
          <w:rFonts w:asciiTheme="minorHAnsi" w:hAnsiTheme="minorHAnsi" w:cs="Calibri"/>
        </w:rPr>
        <w:t xml:space="preserve">and levels of satisfaction with the </w:t>
      </w:r>
      <w:r w:rsidR="00F02A79">
        <w:rPr>
          <w:rFonts w:asciiTheme="minorHAnsi" w:hAnsiTheme="minorHAnsi" w:cs="Calibri"/>
        </w:rPr>
        <w:t>Employee Assistance Programme</w:t>
      </w:r>
      <w:r w:rsidR="00A3036A">
        <w:rPr>
          <w:rFonts w:asciiTheme="minorHAnsi" w:hAnsiTheme="minorHAnsi" w:cs="Calibri"/>
        </w:rPr>
        <w:t>,</w:t>
      </w:r>
      <w:r w:rsidR="00F02A79">
        <w:rPr>
          <w:rFonts w:asciiTheme="minorHAnsi" w:hAnsiTheme="minorHAnsi" w:cs="Calibri"/>
        </w:rPr>
        <w:t xml:space="preserve"> and </w:t>
      </w:r>
      <w:r w:rsidR="00DC5866">
        <w:rPr>
          <w:rFonts w:asciiTheme="minorHAnsi" w:hAnsiTheme="minorHAnsi" w:cs="Calibri"/>
        </w:rPr>
        <w:t xml:space="preserve">the further </w:t>
      </w:r>
      <w:r w:rsidR="00EB2F21">
        <w:rPr>
          <w:rFonts w:asciiTheme="minorHAnsi" w:hAnsiTheme="minorHAnsi" w:cs="Calibri"/>
        </w:rPr>
        <w:t>develop</w:t>
      </w:r>
      <w:r w:rsidR="00476BF0">
        <w:rPr>
          <w:rFonts w:asciiTheme="minorHAnsi" w:hAnsiTheme="minorHAnsi" w:cs="Calibri"/>
        </w:rPr>
        <w:t xml:space="preserve">ment of </w:t>
      </w:r>
      <w:r w:rsidR="00EB2F21">
        <w:rPr>
          <w:rFonts w:asciiTheme="minorHAnsi" w:hAnsiTheme="minorHAnsi" w:cs="Calibri"/>
        </w:rPr>
        <w:t>methods</w:t>
      </w:r>
      <w:r w:rsidR="00476BF0">
        <w:rPr>
          <w:rFonts w:asciiTheme="minorHAnsi" w:hAnsiTheme="minorHAnsi" w:cs="Calibri"/>
        </w:rPr>
        <w:t xml:space="preserve"> to </w:t>
      </w:r>
      <w:r w:rsidR="00EB2F21">
        <w:rPr>
          <w:rFonts w:asciiTheme="minorHAnsi" w:hAnsiTheme="minorHAnsi" w:cs="Calibri"/>
        </w:rPr>
        <w:t>eng</w:t>
      </w:r>
      <w:r w:rsidR="00476BF0">
        <w:rPr>
          <w:rFonts w:asciiTheme="minorHAnsi" w:hAnsiTheme="minorHAnsi" w:cs="Calibri"/>
        </w:rPr>
        <w:t xml:space="preserve">age with staff including </w:t>
      </w:r>
      <w:r w:rsidR="00EB2F21">
        <w:rPr>
          <w:rFonts w:asciiTheme="minorHAnsi" w:hAnsiTheme="minorHAnsi" w:cs="Calibri"/>
        </w:rPr>
        <w:t xml:space="preserve">focus groups and </w:t>
      </w:r>
      <w:r w:rsidR="009006B5">
        <w:rPr>
          <w:rFonts w:asciiTheme="minorHAnsi" w:hAnsiTheme="minorHAnsi" w:cs="Calibri"/>
        </w:rPr>
        <w:t>surveys</w:t>
      </w:r>
      <w:r w:rsidR="00476BF0">
        <w:rPr>
          <w:rFonts w:asciiTheme="minorHAnsi" w:hAnsiTheme="minorHAnsi" w:cs="Calibri"/>
        </w:rPr>
        <w:t xml:space="preserve">. </w:t>
      </w:r>
      <w:r w:rsidR="009006B5">
        <w:rPr>
          <w:rFonts w:asciiTheme="minorHAnsi" w:hAnsiTheme="minorHAnsi" w:cs="Calibri"/>
        </w:rPr>
        <w:t xml:space="preserve"> </w:t>
      </w:r>
    </w:p>
    <w:p w14:paraId="5B506ED7" w14:textId="77777777" w:rsidR="00D04371" w:rsidRDefault="00D04371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32F4C3E7" w14:textId="52D99B04" w:rsidR="001D79C5" w:rsidRPr="00D243B6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Court </w:t>
      </w:r>
      <w:r w:rsidRPr="004D39CA">
        <w:rPr>
          <w:rFonts w:asciiTheme="minorHAnsi" w:hAnsiTheme="minorHAnsi" w:cs="Calibri"/>
          <w:u w:val="single"/>
        </w:rPr>
        <w:t>not</w:t>
      </w:r>
      <w:r w:rsidRPr="00D243B6">
        <w:rPr>
          <w:rFonts w:asciiTheme="minorHAnsi" w:hAnsiTheme="minorHAnsi" w:cs="Calibri"/>
          <w:u w:val="single"/>
        </w:rPr>
        <w:t>e</w:t>
      </w:r>
      <w:r w:rsidR="00EF7D10">
        <w:rPr>
          <w:rFonts w:asciiTheme="minorHAnsi" w:hAnsiTheme="minorHAnsi" w:cs="Calibri"/>
          <w:u w:val="single"/>
        </w:rPr>
        <w:t>d</w:t>
      </w:r>
      <w:r w:rsidRPr="00D243B6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the </w:t>
      </w:r>
      <w:r w:rsidRPr="00D243B6">
        <w:rPr>
          <w:rFonts w:asciiTheme="minorHAnsi" w:hAnsiTheme="minorHAnsi" w:cs="Calibri"/>
        </w:rPr>
        <w:t>staff and employment</w:t>
      </w:r>
      <w:r>
        <w:rPr>
          <w:rFonts w:asciiTheme="minorHAnsi" w:hAnsiTheme="minorHAnsi" w:cs="Calibri"/>
        </w:rPr>
        <w:t xml:space="preserve"> update.</w:t>
      </w:r>
      <w:r w:rsidRPr="00D243B6">
        <w:rPr>
          <w:rFonts w:asciiTheme="minorHAnsi" w:hAnsiTheme="minorHAnsi" w:cs="Calibri"/>
        </w:rPr>
        <w:t xml:space="preserve"> </w:t>
      </w:r>
      <w:r w:rsidRPr="00D243B6">
        <w:rPr>
          <w:rFonts w:cs="Calibri"/>
        </w:rPr>
        <w:t xml:space="preserve"> </w:t>
      </w:r>
      <w:r w:rsidRPr="00D243B6">
        <w:rPr>
          <w:rFonts w:asciiTheme="minorHAnsi" w:hAnsiTheme="minorHAnsi" w:cs="Calibri"/>
          <w:b/>
        </w:rPr>
        <w:t xml:space="preserve"> </w:t>
      </w:r>
    </w:p>
    <w:p w14:paraId="730C5041" w14:textId="77777777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3A6FB790" w14:textId="77777777" w:rsidR="001D79C5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COMMITTEE REPORTS</w:t>
      </w:r>
    </w:p>
    <w:p w14:paraId="6AE1E328" w14:textId="5C213A86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 w:rsidRPr="00D243B6">
        <w:rPr>
          <w:rFonts w:asciiTheme="minorHAnsi" w:hAnsiTheme="minorHAnsi" w:cs="Calibri"/>
          <w:b/>
        </w:rPr>
        <w:t>1</w:t>
      </w:r>
      <w:r>
        <w:rPr>
          <w:rFonts w:asciiTheme="minorHAnsi" w:hAnsiTheme="minorHAnsi" w:cs="Calibri"/>
          <w:b/>
        </w:rPr>
        <w:t>5</w:t>
      </w:r>
      <w:r w:rsidRPr="00D243B6">
        <w:rPr>
          <w:rFonts w:asciiTheme="minorHAnsi" w:hAnsiTheme="minorHAnsi" w:cs="Calibri"/>
          <w:b/>
        </w:rPr>
        <w:t>.</w:t>
      </w:r>
      <w:r w:rsidRPr="00D243B6">
        <w:rPr>
          <w:rFonts w:asciiTheme="minorHAnsi" w:hAnsiTheme="minorHAnsi" w:cs="Calibri"/>
          <w:b/>
        </w:rPr>
        <w:tab/>
        <w:t>ACADEMIC COUNCIL</w:t>
      </w:r>
      <w:r w:rsidRPr="00D243B6">
        <w:rPr>
          <w:rFonts w:asciiTheme="minorHAnsi" w:hAnsiTheme="minorHAnsi" w:cs="Calibri"/>
          <w:b/>
        </w:rPr>
        <w:tab/>
      </w:r>
      <w:proofErr w:type="gramStart"/>
      <w:r w:rsidRPr="00D243B6">
        <w:rPr>
          <w:rFonts w:asciiTheme="minorHAnsi" w:hAnsiTheme="minorHAnsi" w:cs="Calibri"/>
          <w:b/>
        </w:rPr>
        <w:t>UC(</w:t>
      </w:r>
      <w:proofErr w:type="gramEnd"/>
      <w:r w:rsidRPr="00D243B6">
        <w:rPr>
          <w:rFonts w:asciiTheme="minorHAnsi" w:hAnsiTheme="minorHAnsi" w:cs="Calibri"/>
          <w:b/>
        </w:rPr>
        <w:t>20/21)</w:t>
      </w:r>
      <w:r>
        <w:rPr>
          <w:rFonts w:asciiTheme="minorHAnsi" w:hAnsiTheme="minorHAnsi" w:cs="Calibri"/>
          <w:b/>
        </w:rPr>
        <w:t>12</w:t>
      </w:r>
    </w:p>
    <w:p w14:paraId="76D4592F" w14:textId="6B6294FC" w:rsidR="001D79C5" w:rsidRDefault="00EF7D10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Members received an introduction to the </w:t>
      </w:r>
      <w:r w:rsidR="001D79C5">
        <w:rPr>
          <w:rFonts w:asciiTheme="minorHAnsi" w:hAnsiTheme="minorHAnsi" w:cs="Calibri"/>
        </w:rPr>
        <w:t xml:space="preserve">report from the </w:t>
      </w:r>
      <w:r>
        <w:rPr>
          <w:rFonts w:asciiTheme="minorHAnsi" w:hAnsiTheme="minorHAnsi" w:cs="Calibri"/>
        </w:rPr>
        <w:t>Academic Council m</w:t>
      </w:r>
      <w:r w:rsidR="001D79C5">
        <w:rPr>
          <w:rFonts w:asciiTheme="minorHAnsi" w:hAnsiTheme="minorHAnsi" w:cs="Calibri"/>
        </w:rPr>
        <w:t xml:space="preserve">eeting of 15 September 2021.   </w:t>
      </w:r>
    </w:p>
    <w:p w14:paraId="4B6E5064" w14:textId="77777777" w:rsidR="001D79C5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</w:p>
    <w:p w14:paraId="620EF0F4" w14:textId="4D76A83E" w:rsidR="001D79C5" w:rsidRDefault="001D79C5" w:rsidP="001D79C5">
      <w:pPr>
        <w:spacing w:after="0" w:line="240" w:lineRule="auto"/>
        <w:ind w:left="720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Court </w:t>
      </w:r>
      <w:r w:rsidRPr="00D243B6">
        <w:rPr>
          <w:rFonts w:asciiTheme="minorHAnsi" w:hAnsiTheme="minorHAnsi" w:cs="Calibri"/>
          <w:u w:val="single"/>
        </w:rPr>
        <w:t>consider</w:t>
      </w:r>
      <w:r w:rsidR="00EF7D10">
        <w:rPr>
          <w:rFonts w:asciiTheme="minorHAnsi" w:hAnsiTheme="minorHAnsi" w:cs="Calibri"/>
          <w:u w:val="single"/>
        </w:rPr>
        <w:t>ed</w:t>
      </w:r>
      <w:r w:rsidRPr="00D243B6">
        <w:rPr>
          <w:rFonts w:asciiTheme="minorHAnsi" w:hAnsiTheme="minorHAnsi" w:cs="Calibri"/>
        </w:rPr>
        <w:t xml:space="preserve"> the report from the meeting of </w:t>
      </w:r>
      <w:r w:rsidRPr="00241BD6">
        <w:rPr>
          <w:rFonts w:asciiTheme="minorHAnsi" w:hAnsiTheme="minorHAnsi" w:cs="Calibri"/>
        </w:rPr>
        <w:t>15 September 2021</w:t>
      </w:r>
      <w:r>
        <w:rPr>
          <w:rFonts w:asciiTheme="minorHAnsi" w:hAnsiTheme="minorHAnsi" w:cs="Calibri"/>
        </w:rPr>
        <w:t>.</w:t>
      </w:r>
      <w:r w:rsidRPr="00D243B6">
        <w:rPr>
          <w:rFonts w:asciiTheme="minorHAnsi" w:hAnsiTheme="minorHAnsi" w:cs="Calibri"/>
        </w:rPr>
        <w:tab/>
      </w:r>
      <w:r w:rsidRPr="00D243B6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 xml:space="preserve">                   </w:t>
      </w:r>
    </w:p>
    <w:p w14:paraId="7E00383A" w14:textId="77777777" w:rsidR="00EF7D10" w:rsidRDefault="00EF7D10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</w:p>
    <w:p w14:paraId="723EBEAB" w14:textId="01CF0505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  <w:i/>
        </w:rPr>
      </w:pPr>
      <w:r w:rsidRPr="00D243B6">
        <w:rPr>
          <w:rFonts w:cs="Calibri"/>
          <w:b/>
          <w:i/>
        </w:rPr>
        <w:t>RISKS</w:t>
      </w:r>
    </w:p>
    <w:p w14:paraId="6C2593E4" w14:textId="77777777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cs="Calibri"/>
          <w:b/>
        </w:rPr>
      </w:pPr>
      <w:r>
        <w:rPr>
          <w:rFonts w:cs="Calibri"/>
          <w:b/>
        </w:rPr>
        <w:t>16</w:t>
      </w:r>
      <w:r w:rsidRPr="00D243B6">
        <w:rPr>
          <w:rFonts w:cs="Calibri"/>
          <w:b/>
        </w:rPr>
        <w:t>.</w:t>
      </w:r>
      <w:r w:rsidRPr="00D243B6">
        <w:rPr>
          <w:rFonts w:cs="Calibri"/>
          <w:b/>
        </w:rPr>
        <w:tab/>
        <w:t>RISKS ARISING</w:t>
      </w:r>
      <w:r w:rsidRPr="00D243B6">
        <w:rPr>
          <w:rFonts w:cs="Calibri"/>
          <w:b/>
        </w:rPr>
        <w:tab/>
        <w:t>Oral</w:t>
      </w:r>
    </w:p>
    <w:p w14:paraId="78A76FB6" w14:textId="61C3EC53" w:rsidR="001D79C5" w:rsidRPr="00F17CE0" w:rsidRDefault="001D79C5" w:rsidP="001D79C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>
        <w:rPr>
          <w:rFonts w:cs="Calibri"/>
        </w:rPr>
        <w:t xml:space="preserve">Court </w:t>
      </w:r>
      <w:r w:rsidRPr="00D243B6">
        <w:rPr>
          <w:rFonts w:cs="Calibri"/>
          <w:u w:val="single"/>
        </w:rPr>
        <w:t>consider</w:t>
      </w:r>
      <w:r w:rsidR="00EF7D10">
        <w:rPr>
          <w:rFonts w:cs="Calibri"/>
          <w:u w:val="single"/>
        </w:rPr>
        <w:t>ed</w:t>
      </w:r>
      <w:r w:rsidRPr="00D243B6">
        <w:rPr>
          <w:rFonts w:cs="Calibri"/>
        </w:rPr>
        <w:t xml:space="preserve"> risks associated</w:t>
      </w:r>
      <w:r w:rsidRPr="00F17CE0">
        <w:rPr>
          <w:rFonts w:cs="Calibri"/>
        </w:rPr>
        <w:t xml:space="preserve"> with items discussed </w:t>
      </w:r>
      <w:r>
        <w:rPr>
          <w:rFonts w:cs="Calibri"/>
        </w:rPr>
        <w:t>in the context of the agreed risk appetite statement.</w:t>
      </w:r>
    </w:p>
    <w:p w14:paraId="4A7589E2" w14:textId="77777777" w:rsidR="001D79C5" w:rsidRDefault="001D79C5" w:rsidP="001D79C5">
      <w:pPr>
        <w:spacing w:after="0" w:line="240" w:lineRule="auto"/>
        <w:contextualSpacing/>
        <w:jc w:val="both"/>
        <w:rPr>
          <w:rFonts w:cs="Calibri"/>
          <w:b/>
          <w:i/>
        </w:rPr>
      </w:pPr>
    </w:p>
    <w:p w14:paraId="1A378B2E" w14:textId="77777777" w:rsidR="001D79C5" w:rsidRPr="00D243B6" w:rsidRDefault="001D79C5" w:rsidP="001D79C5">
      <w:pPr>
        <w:spacing w:after="0" w:line="240" w:lineRule="auto"/>
        <w:contextualSpacing/>
        <w:jc w:val="both"/>
        <w:rPr>
          <w:rFonts w:cs="Calibri"/>
          <w:b/>
          <w:i/>
        </w:rPr>
      </w:pPr>
      <w:r w:rsidRPr="00D243B6">
        <w:rPr>
          <w:rFonts w:cs="Calibri"/>
          <w:b/>
          <w:i/>
        </w:rPr>
        <w:t>OTHER ITEMS</w:t>
      </w:r>
    </w:p>
    <w:p w14:paraId="5FE322A6" w14:textId="77777777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17.        </w:t>
      </w:r>
      <w:r w:rsidRPr="00D243B6">
        <w:rPr>
          <w:rFonts w:asciiTheme="minorHAnsi" w:hAnsiTheme="minorHAnsi" w:cs="Calibri"/>
          <w:b/>
        </w:rPr>
        <w:t>ANY OTHER COMPETENT BUSINESS</w:t>
      </w:r>
      <w:r w:rsidRPr="00D243B6">
        <w:rPr>
          <w:rFonts w:asciiTheme="minorHAnsi" w:hAnsiTheme="minorHAnsi" w:cs="Calibri"/>
          <w:b/>
        </w:rPr>
        <w:tab/>
      </w:r>
    </w:p>
    <w:p w14:paraId="27B52A53" w14:textId="77777777" w:rsidR="001D79C5" w:rsidRPr="00D243B6" w:rsidRDefault="001D79C5" w:rsidP="001D79C5">
      <w:pPr>
        <w:spacing w:after="0" w:line="240" w:lineRule="auto"/>
        <w:contextualSpacing/>
        <w:rPr>
          <w:rFonts w:asciiTheme="minorHAnsi" w:hAnsiTheme="minorHAnsi" w:cs="Calibri"/>
        </w:rPr>
      </w:pPr>
    </w:p>
    <w:p w14:paraId="6C257AD5" w14:textId="77777777" w:rsidR="001D79C5" w:rsidRPr="00D243B6" w:rsidRDefault="001D79C5" w:rsidP="001D79C5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18</w:t>
      </w:r>
      <w:r w:rsidRPr="00D243B6">
        <w:rPr>
          <w:rFonts w:asciiTheme="minorHAnsi" w:hAnsiTheme="minorHAnsi" w:cs="Calibri"/>
          <w:b/>
        </w:rPr>
        <w:t>.</w:t>
      </w:r>
      <w:r w:rsidRPr="00D243B6">
        <w:rPr>
          <w:rFonts w:asciiTheme="minorHAnsi" w:hAnsiTheme="minorHAnsi" w:cs="Calibri"/>
          <w:b/>
        </w:rPr>
        <w:tab/>
        <w:t>NEXT MEETING</w:t>
      </w:r>
      <w:r w:rsidRPr="00D243B6">
        <w:rPr>
          <w:rFonts w:asciiTheme="minorHAnsi" w:hAnsiTheme="minorHAnsi" w:cs="Calibri"/>
          <w:b/>
        </w:rPr>
        <w:tab/>
      </w:r>
    </w:p>
    <w:p w14:paraId="74E61E8F" w14:textId="574DDFF2" w:rsidR="001D79C5" w:rsidRPr="00D243B6" w:rsidRDefault="00EF7D10" w:rsidP="001D79C5">
      <w:pPr>
        <w:tabs>
          <w:tab w:val="right" w:pos="9026"/>
        </w:tabs>
        <w:spacing w:after="0" w:line="240" w:lineRule="auto"/>
        <w:ind w:left="720"/>
        <w:contextualSpacing/>
        <w:jc w:val="both"/>
        <w:rPr>
          <w:rFonts w:cs="Calibri"/>
        </w:rPr>
      </w:pPr>
      <w:r>
        <w:rPr>
          <w:rFonts w:cs="Calibri"/>
        </w:rPr>
        <w:t xml:space="preserve">Members </w:t>
      </w:r>
      <w:r w:rsidR="001D79C5" w:rsidRPr="00D243B6">
        <w:rPr>
          <w:rFonts w:cs="Calibri"/>
          <w:u w:val="single"/>
        </w:rPr>
        <w:t>note</w:t>
      </w:r>
      <w:r>
        <w:rPr>
          <w:rFonts w:cs="Calibri"/>
          <w:u w:val="single"/>
        </w:rPr>
        <w:t>d</w:t>
      </w:r>
      <w:r w:rsidR="001D79C5" w:rsidRPr="00D243B6">
        <w:rPr>
          <w:rFonts w:cs="Calibri"/>
        </w:rPr>
        <w:t xml:space="preserve"> </w:t>
      </w:r>
      <w:r w:rsidR="00E90792">
        <w:rPr>
          <w:rFonts w:cs="Calibri"/>
        </w:rPr>
        <w:t xml:space="preserve">the </w:t>
      </w:r>
      <w:r w:rsidR="001D79C5" w:rsidRPr="00D243B6">
        <w:rPr>
          <w:rFonts w:cs="Calibri"/>
        </w:rPr>
        <w:t xml:space="preserve">Court Strategy Day on </w:t>
      </w:r>
      <w:r w:rsidR="001D79C5">
        <w:rPr>
          <w:rFonts w:cs="Calibri"/>
        </w:rPr>
        <w:t xml:space="preserve">Friday </w:t>
      </w:r>
      <w:r w:rsidR="001D79C5" w:rsidRPr="00931515">
        <w:rPr>
          <w:rFonts w:cs="Calibri"/>
        </w:rPr>
        <w:t>29 October 2021</w:t>
      </w:r>
      <w:r w:rsidR="001D79C5">
        <w:rPr>
          <w:rFonts w:cs="Calibri"/>
        </w:rPr>
        <w:t xml:space="preserve"> </w:t>
      </w:r>
      <w:r w:rsidR="001D79C5" w:rsidRPr="00D243B6">
        <w:rPr>
          <w:rFonts w:cs="Calibri"/>
        </w:rPr>
        <w:t xml:space="preserve">and the next full meeting of Court </w:t>
      </w:r>
      <w:r w:rsidR="00E90792">
        <w:rPr>
          <w:rFonts w:cs="Calibri"/>
        </w:rPr>
        <w:t>was</w:t>
      </w:r>
      <w:r w:rsidR="001D79C5" w:rsidRPr="00D243B6">
        <w:rPr>
          <w:rFonts w:cs="Calibri"/>
        </w:rPr>
        <w:t xml:space="preserve"> scheduled for </w:t>
      </w:r>
      <w:r w:rsidR="001D79C5">
        <w:rPr>
          <w:rFonts w:cs="Calibri"/>
        </w:rPr>
        <w:t xml:space="preserve">Monday 13 </w:t>
      </w:r>
      <w:r w:rsidR="001D79C5" w:rsidRPr="00D243B6">
        <w:rPr>
          <w:rFonts w:cs="Calibri"/>
        </w:rPr>
        <w:t xml:space="preserve">December 2021.  </w:t>
      </w:r>
    </w:p>
    <w:p w14:paraId="3B2F446B" w14:textId="77777777" w:rsidR="001D79C5" w:rsidRDefault="001D79C5" w:rsidP="001D79C5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2FDEAA4F" w14:textId="77777777" w:rsidR="007F282F" w:rsidRDefault="007F282F" w:rsidP="001D79C5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6AD15DD9" w14:textId="77777777" w:rsidR="007F282F" w:rsidRDefault="007F282F" w:rsidP="001D79C5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1BB0867B" w14:textId="5E23E271" w:rsidR="0013039F" w:rsidRDefault="0013039F" w:rsidP="001D79C5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21B2E703" w14:textId="77777777" w:rsidR="0013039F" w:rsidRDefault="0013039F" w:rsidP="001D79C5">
      <w:pPr>
        <w:spacing w:after="0" w:line="240" w:lineRule="auto"/>
        <w:contextualSpacing/>
        <w:jc w:val="both"/>
        <w:rPr>
          <w:rFonts w:asciiTheme="minorHAnsi" w:hAnsiTheme="minorHAnsi" w:cs="Calibri"/>
          <w:b/>
          <w:bCs/>
        </w:rPr>
      </w:pPr>
    </w:p>
    <w:p w14:paraId="1F608913" w14:textId="77777777" w:rsidR="001D79C5" w:rsidRDefault="001D79C5" w:rsidP="001D79C5">
      <w:pPr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highlight w:val="cyan"/>
        </w:rPr>
      </w:pPr>
    </w:p>
    <w:p w14:paraId="6CE57094" w14:textId="040D0B59" w:rsidR="000B6C03" w:rsidRPr="00C11869" w:rsidRDefault="000B6C03" w:rsidP="00E90792">
      <w:pPr>
        <w:tabs>
          <w:tab w:val="left" w:pos="709"/>
          <w:tab w:val="right" w:pos="9072"/>
        </w:tabs>
        <w:spacing w:after="0" w:line="240" w:lineRule="auto"/>
        <w:contextualSpacing/>
        <w:rPr>
          <w:rFonts w:asciiTheme="minorHAnsi" w:hAnsiTheme="minorHAnsi" w:cstheme="minorHAnsi"/>
          <w:strike/>
        </w:rPr>
      </w:pPr>
    </w:p>
    <w:p w14:paraId="43B3E7D3" w14:textId="77777777" w:rsidR="000B6C03" w:rsidRPr="00C11869" w:rsidRDefault="000B6C03" w:rsidP="000B6C03">
      <w:pPr>
        <w:spacing w:after="0" w:line="240" w:lineRule="auto"/>
        <w:contextualSpacing/>
        <w:rPr>
          <w:rFonts w:asciiTheme="minorHAnsi" w:hAnsiTheme="minorHAnsi" w:cs="Calibri"/>
          <w:bCs/>
          <w:strike/>
        </w:rPr>
      </w:pPr>
    </w:p>
    <w:sectPr w:rsidR="000B6C03" w:rsidRPr="00C11869" w:rsidSect="00D24121">
      <w:headerReference w:type="default" r:id="rId9"/>
      <w:footerReference w:type="default" r:id="rId10"/>
      <w:pgSz w:w="11906" w:h="16838"/>
      <w:pgMar w:top="1247" w:right="1440" w:bottom="124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B6552" w14:textId="77777777" w:rsidR="009C77DB" w:rsidRDefault="009C77DB" w:rsidP="0004055B">
      <w:pPr>
        <w:spacing w:after="0" w:line="240" w:lineRule="auto"/>
      </w:pPr>
      <w:r>
        <w:separator/>
      </w:r>
    </w:p>
  </w:endnote>
  <w:endnote w:type="continuationSeparator" w:id="0">
    <w:p w14:paraId="1AF26A18" w14:textId="77777777" w:rsidR="009C77DB" w:rsidRDefault="009C77DB" w:rsidP="0004055B">
      <w:pPr>
        <w:spacing w:after="0" w:line="240" w:lineRule="auto"/>
      </w:pPr>
      <w:r>
        <w:continuationSeparator/>
      </w:r>
    </w:p>
  </w:endnote>
  <w:endnote w:type="continuationNotice" w:id="1">
    <w:p w14:paraId="15ECD727" w14:textId="77777777" w:rsidR="009C77DB" w:rsidRDefault="009C77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EDAD" w14:textId="6E110DCB" w:rsidR="000D6CF0" w:rsidRPr="00D60727" w:rsidRDefault="000D6CF0" w:rsidP="00EE564E">
    <w:pPr>
      <w:pStyle w:val="Footer"/>
      <w:spacing w:before="240" w:after="0"/>
      <w:jc w:val="right"/>
      <w:rPr>
        <w:rFonts w:ascii="Arial" w:hAnsi="Arial" w:cs="Arial"/>
        <w:i/>
        <w:sz w:val="16"/>
        <w:szCs w:val="16"/>
      </w:rPr>
    </w:pPr>
    <w:r w:rsidRPr="00D60727">
      <w:rPr>
        <w:rFonts w:ascii="Arial" w:hAnsi="Arial" w:cs="Arial"/>
        <w:i/>
        <w:sz w:val="16"/>
        <w:szCs w:val="16"/>
      </w:rPr>
      <w:t xml:space="preserve">Page 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PAGE </w:instrTex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separate"/>
    </w:r>
    <w:r w:rsidR="007833B3">
      <w:rPr>
        <w:rFonts w:ascii="Arial" w:hAnsi="Arial" w:cs="Arial"/>
        <w:i/>
        <w:noProof/>
        <w:sz w:val="16"/>
        <w:szCs w:val="16"/>
      </w:rPr>
      <w:t>5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end"/>
    </w:r>
    <w:r w:rsidRPr="00D60727">
      <w:rPr>
        <w:rFonts w:ascii="Arial" w:hAnsi="Arial" w:cs="Arial"/>
        <w:i/>
        <w:sz w:val="16"/>
        <w:szCs w:val="16"/>
      </w:rPr>
      <w:t xml:space="preserve"> of 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begin"/>
    </w:r>
    <w:r w:rsidRPr="00D60727">
      <w:rPr>
        <w:rFonts w:ascii="Arial" w:hAnsi="Arial" w:cs="Arial"/>
        <w:i/>
        <w:sz w:val="16"/>
        <w:szCs w:val="16"/>
      </w:rPr>
      <w:instrText xml:space="preserve"> NUMPAGES  </w:instrTex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separate"/>
    </w:r>
    <w:r w:rsidR="007833B3">
      <w:rPr>
        <w:rFonts w:ascii="Arial" w:hAnsi="Arial" w:cs="Arial"/>
        <w:i/>
        <w:noProof/>
        <w:sz w:val="16"/>
        <w:szCs w:val="16"/>
      </w:rPr>
      <w:t>5</w:t>
    </w:r>
    <w:r w:rsidRPr="00D60727">
      <w:rPr>
        <w:rFonts w:ascii="Arial" w:hAnsi="Arial" w:cs="Arial"/>
        <w:i/>
        <w:color w:val="2B579A"/>
        <w:sz w:val="16"/>
        <w:szCs w:val="16"/>
        <w:shd w:val="clear" w:color="auto" w:fill="E6E6E6"/>
      </w:rPr>
      <w:fldChar w:fldCharType="end"/>
    </w:r>
  </w:p>
  <w:p w14:paraId="48E6B31B" w14:textId="77777777" w:rsidR="000D6CF0" w:rsidRDefault="000D6CF0">
    <w:pPr>
      <w:pStyle w:val="Footer"/>
      <w:jc w:val="right"/>
    </w:pPr>
  </w:p>
  <w:p w14:paraId="5571E18F" w14:textId="77777777" w:rsidR="000D6CF0" w:rsidRDefault="000D6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9F50" w14:textId="77777777" w:rsidR="009C77DB" w:rsidRDefault="009C77DB" w:rsidP="0004055B">
      <w:pPr>
        <w:spacing w:after="0" w:line="240" w:lineRule="auto"/>
      </w:pPr>
      <w:r>
        <w:separator/>
      </w:r>
    </w:p>
  </w:footnote>
  <w:footnote w:type="continuationSeparator" w:id="0">
    <w:p w14:paraId="1C7780F9" w14:textId="77777777" w:rsidR="009C77DB" w:rsidRDefault="009C77DB" w:rsidP="0004055B">
      <w:pPr>
        <w:spacing w:after="0" w:line="240" w:lineRule="auto"/>
      </w:pPr>
      <w:r>
        <w:continuationSeparator/>
      </w:r>
    </w:p>
  </w:footnote>
  <w:footnote w:type="continuationNotice" w:id="1">
    <w:p w14:paraId="7C047AC9" w14:textId="77777777" w:rsidR="009C77DB" w:rsidRDefault="009C77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3BA27" w14:textId="197159E0" w:rsidR="000D6CF0" w:rsidRPr="00AC707F" w:rsidRDefault="000D6CF0">
    <w:pPr>
      <w:pStyle w:val="Header"/>
    </w:pPr>
    <w:r w:rsidRPr="00AC707F">
      <w:tab/>
    </w:r>
    <w:r w:rsidRPr="00AC707F">
      <w:tab/>
      <w:t xml:space="preserve">UC </w:t>
    </w:r>
    <w:r>
      <w:t>(2</w:t>
    </w:r>
    <w:r w:rsidR="001D79C5">
      <w:t>1</w:t>
    </w:r>
    <w:r>
      <w:t>/2</w:t>
    </w:r>
    <w:r w:rsidR="001D79C5">
      <w:t>2</w:t>
    </w:r>
    <w:r w:rsidRPr="00AC707F">
      <w:t xml:space="preserve">) Minutes </w:t>
    </w:r>
    <w:r w:rsidR="001D79C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20813"/>
    <w:multiLevelType w:val="hybridMultilevel"/>
    <w:tmpl w:val="BC1C0D3E"/>
    <w:lvl w:ilvl="0" w:tplc="C30AE84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3547AE"/>
    <w:multiLevelType w:val="hybridMultilevel"/>
    <w:tmpl w:val="8A9CE81C"/>
    <w:lvl w:ilvl="0" w:tplc="714A7EF8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80D07DE"/>
    <w:multiLevelType w:val="hybridMultilevel"/>
    <w:tmpl w:val="0D3E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23102"/>
    <w:multiLevelType w:val="hybridMultilevel"/>
    <w:tmpl w:val="8D580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16E6DD5E"/>
    <w:lvl w:ilvl="0" w:tplc="B02AD61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525A9C"/>
    <w:multiLevelType w:val="multilevel"/>
    <w:tmpl w:val="C7709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9127E"/>
    <w:multiLevelType w:val="hybridMultilevel"/>
    <w:tmpl w:val="544C6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7CF0"/>
    <w:multiLevelType w:val="hybridMultilevel"/>
    <w:tmpl w:val="C3FC2C9E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B713F"/>
    <w:multiLevelType w:val="hybridMultilevel"/>
    <w:tmpl w:val="9BEE60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B63F56"/>
    <w:multiLevelType w:val="hybridMultilevel"/>
    <w:tmpl w:val="0AF0D6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3173D"/>
    <w:multiLevelType w:val="hybridMultilevel"/>
    <w:tmpl w:val="5626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6F1C"/>
    <w:multiLevelType w:val="hybridMultilevel"/>
    <w:tmpl w:val="D71CF0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67806"/>
    <w:multiLevelType w:val="hybridMultilevel"/>
    <w:tmpl w:val="BF96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3A1D22"/>
    <w:multiLevelType w:val="hybridMultilevel"/>
    <w:tmpl w:val="D01E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213A5"/>
    <w:multiLevelType w:val="hybridMultilevel"/>
    <w:tmpl w:val="BCCA1D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9C2F3B"/>
    <w:multiLevelType w:val="hybridMultilevel"/>
    <w:tmpl w:val="6CF8CC4E"/>
    <w:lvl w:ilvl="0" w:tplc="7E60AC96">
      <w:start w:val="1"/>
      <w:numFmt w:val="decimal"/>
      <w:lvlText w:val="%1)"/>
      <w:lvlJc w:val="left"/>
      <w:pPr>
        <w:ind w:left="1640" w:hanging="920"/>
      </w:pPr>
      <w:rPr>
        <w:rFonts w:asciiTheme="minorHAnsi" w:hAnsiTheme="minorHAnsi" w:cs="Wingding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982E9E"/>
    <w:multiLevelType w:val="multilevel"/>
    <w:tmpl w:val="28F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C5D08"/>
    <w:multiLevelType w:val="hybridMultilevel"/>
    <w:tmpl w:val="11EE3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D4769"/>
    <w:multiLevelType w:val="hybridMultilevel"/>
    <w:tmpl w:val="79982C0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66D4D01"/>
    <w:multiLevelType w:val="hybridMultilevel"/>
    <w:tmpl w:val="529EE68E"/>
    <w:lvl w:ilvl="0" w:tplc="20526DA2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94E4A5B"/>
    <w:multiLevelType w:val="hybridMultilevel"/>
    <w:tmpl w:val="8BDCEB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D17CF"/>
    <w:multiLevelType w:val="multilevel"/>
    <w:tmpl w:val="39B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787FB4"/>
    <w:multiLevelType w:val="multilevel"/>
    <w:tmpl w:val="DDBC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790C6F"/>
    <w:multiLevelType w:val="hybridMultilevel"/>
    <w:tmpl w:val="4DE4B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1DF4"/>
    <w:multiLevelType w:val="hybridMultilevel"/>
    <w:tmpl w:val="5CB4D1CE"/>
    <w:lvl w:ilvl="0" w:tplc="3E6896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02FF5"/>
    <w:multiLevelType w:val="hybridMultilevel"/>
    <w:tmpl w:val="2654AFA8"/>
    <w:lvl w:ilvl="0" w:tplc="080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6B480A90"/>
    <w:multiLevelType w:val="hybridMultilevel"/>
    <w:tmpl w:val="D264CA3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1C3A46"/>
    <w:multiLevelType w:val="hybridMultilevel"/>
    <w:tmpl w:val="89CA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86A42"/>
    <w:multiLevelType w:val="hybridMultilevel"/>
    <w:tmpl w:val="242ABA7E"/>
    <w:lvl w:ilvl="0" w:tplc="A70CF7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6029B"/>
    <w:multiLevelType w:val="hybridMultilevel"/>
    <w:tmpl w:val="77B6E564"/>
    <w:lvl w:ilvl="0" w:tplc="272AF67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7F3317"/>
    <w:multiLevelType w:val="hybridMultilevel"/>
    <w:tmpl w:val="82CC5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F127C"/>
    <w:multiLevelType w:val="hybridMultilevel"/>
    <w:tmpl w:val="CACA5C1A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11DE1"/>
    <w:multiLevelType w:val="multilevel"/>
    <w:tmpl w:val="0F72C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027365"/>
    <w:multiLevelType w:val="hybridMultilevel"/>
    <w:tmpl w:val="0332DA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3"/>
  </w:num>
  <w:num w:numId="4">
    <w:abstractNumId w:val="10"/>
  </w:num>
  <w:num w:numId="5">
    <w:abstractNumId w:val="14"/>
  </w:num>
  <w:num w:numId="6">
    <w:abstractNumId w:val="30"/>
  </w:num>
  <w:num w:numId="7">
    <w:abstractNumId w:val="2"/>
  </w:num>
  <w:num w:numId="8">
    <w:abstractNumId w:val="27"/>
  </w:num>
  <w:num w:numId="9">
    <w:abstractNumId w:val="28"/>
  </w:num>
  <w:num w:numId="10">
    <w:abstractNumId w:val="6"/>
  </w:num>
  <w:num w:numId="11">
    <w:abstractNumId w:val="12"/>
  </w:num>
  <w:num w:numId="12">
    <w:abstractNumId w:val="15"/>
  </w:num>
  <w:num w:numId="13">
    <w:abstractNumId w:val="22"/>
  </w:num>
  <w:num w:numId="14">
    <w:abstractNumId w:val="5"/>
  </w:num>
  <w:num w:numId="15">
    <w:abstractNumId w:val="32"/>
  </w:num>
  <w:num w:numId="16">
    <w:abstractNumId w:val="16"/>
  </w:num>
  <w:num w:numId="17">
    <w:abstractNumId w:val="21"/>
  </w:num>
  <w:num w:numId="18">
    <w:abstractNumId w:val="17"/>
  </w:num>
  <w:num w:numId="19">
    <w:abstractNumId w:val="1"/>
  </w:num>
  <w:num w:numId="20">
    <w:abstractNumId w:val="19"/>
  </w:num>
  <w:num w:numId="21">
    <w:abstractNumId w:val="0"/>
  </w:num>
  <w:num w:numId="22">
    <w:abstractNumId w:val="4"/>
  </w:num>
  <w:num w:numId="23">
    <w:abstractNumId w:val="29"/>
  </w:num>
  <w:num w:numId="24">
    <w:abstractNumId w:val="20"/>
  </w:num>
  <w:num w:numId="25">
    <w:abstractNumId w:val="9"/>
  </w:num>
  <w:num w:numId="26">
    <w:abstractNumId w:val="23"/>
  </w:num>
  <w:num w:numId="27">
    <w:abstractNumId w:val="11"/>
  </w:num>
  <w:num w:numId="28">
    <w:abstractNumId w:val="24"/>
  </w:num>
  <w:num w:numId="29">
    <w:abstractNumId w:val="25"/>
  </w:num>
  <w:num w:numId="30">
    <w:abstractNumId w:val="18"/>
  </w:num>
  <w:num w:numId="31">
    <w:abstractNumId w:val="7"/>
  </w:num>
  <w:num w:numId="32">
    <w:abstractNumId w:val="31"/>
  </w:num>
  <w:num w:numId="33">
    <w:abstractNumId w:val="8"/>
  </w:num>
  <w:num w:numId="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A4"/>
    <w:rsid w:val="000021A0"/>
    <w:rsid w:val="00002AA0"/>
    <w:rsid w:val="000150AF"/>
    <w:rsid w:val="00015FBD"/>
    <w:rsid w:val="000217B9"/>
    <w:rsid w:val="0002417D"/>
    <w:rsid w:val="00026477"/>
    <w:rsid w:val="000266C4"/>
    <w:rsid w:val="00027065"/>
    <w:rsid w:val="00030828"/>
    <w:rsid w:val="00035E2A"/>
    <w:rsid w:val="00036759"/>
    <w:rsid w:val="000368D1"/>
    <w:rsid w:val="00036EDD"/>
    <w:rsid w:val="0004055B"/>
    <w:rsid w:val="00040F8B"/>
    <w:rsid w:val="0004191A"/>
    <w:rsid w:val="00043853"/>
    <w:rsid w:val="00043AA2"/>
    <w:rsid w:val="00044E97"/>
    <w:rsid w:val="00045201"/>
    <w:rsid w:val="00052BEB"/>
    <w:rsid w:val="00052F05"/>
    <w:rsid w:val="0005366E"/>
    <w:rsid w:val="000536CE"/>
    <w:rsid w:val="00054591"/>
    <w:rsid w:val="00060ADE"/>
    <w:rsid w:val="00063A04"/>
    <w:rsid w:val="00063D16"/>
    <w:rsid w:val="00065EDC"/>
    <w:rsid w:val="00067B2D"/>
    <w:rsid w:val="0007290D"/>
    <w:rsid w:val="00074AAA"/>
    <w:rsid w:val="00075B7D"/>
    <w:rsid w:val="00082254"/>
    <w:rsid w:val="000849B0"/>
    <w:rsid w:val="0008707E"/>
    <w:rsid w:val="00090A29"/>
    <w:rsid w:val="0009125D"/>
    <w:rsid w:val="00092842"/>
    <w:rsid w:val="00096CB4"/>
    <w:rsid w:val="00097D4F"/>
    <w:rsid w:val="000B0073"/>
    <w:rsid w:val="000B02EA"/>
    <w:rsid w:val="000B0923"/>
    <w:rsid w:val="000B0D8F"/>
    <w:rsid w:val="000B21C6"/>
    <w:rsid w:val="000B4B08"/>
    <w:rsid w:val="000B6C03"/>
    <w:rsid w:val="000B6E58"/>
    <w:rsid w:val="000B6F77"/>
    <w:rsid w:val="000C4B67"/>
    <w:rsid w:val="000C51AC"/>
    <w:rsid w:val="000C5DE4"/>
    <w:rsid w:val="000D25C5"/>
    <w:rsid w:val="000D4A32"/>
    <w:rsid w:val="000D59F8"/>
    <w:rsid w:val="000D6CF0"/>
    <w:rsid w:val="000D6EA7"/>
    <w:rsid w:val="000E0D42"/>
    <w:rsid w:val="000E330A"/>
    <w:rsid w:val="000E4EA9"/>
    <w:rsid w:val="000E4ECF"/>
    <w:rsid w:val="000E4F6E"/>
    <w:rsid w:val="000E530F"/>
    <w:rsid w:val="000E7F03"/>
    <w:rsid w:val="000F0BF3"/>
    <w:rsid w:val="000F29FB"/>
    <w:rsid w:val="000F317B"/>
    <w:rsid w:val="000F36C0"/>
    <w:rsid w:val="000F45D4"/>
    <w:rsid w:val="000F6010"/>
    <w:rsid w:val="000F60FA"/>
    <w:rsid w:val="000F7409"/>
    <w:rsid w:val="000F7859"/>
    <w:rsid w:val="001017C2"/>
    <w:rsid w:val="00103765"/>
    <w:rsid w:val="00104121"/>
    <w:rsid w:val="00105AB5"/>
    <w:rsid w:val="00106974"/>
    <w:rsid w:val="00107600"/>
    <w:rsid w:val="0010776A"/>
    <w:rsid w:val="00116CB2"/>
    <w:rsid w:val="0011750E"/>
    <w:rsid w:val="00117F1A"/>
    <w:rsid w:val="00117F42"/>
    <w:rsid w:val="001205D2"/>
    <w:rsid w:val="00121961"/>
    <w:rsid w:val="001275CA"/>
    <w:rsid w:val="0013039F"/>
    <w:rsid w:val="001307C0"/>
    <w:rsid w:val="00130A12"/>
    <w:rsid w:val="00130E45"/>
    <w:rsid w:val="00133A81"/>
    <w:rsid w:val="00133B1B"/>
    <w:rsid w:val="00134D1A"/>
    <w:rsid w:val="001355CA"/>
    <w:rsid w:val="001357A8"/>
    <w:rsid w:val="0014177B"/>
    <w:rsid w:val="00150CF4"/>
    <w:rsid w:val="00151A5A"/>
    <w:rsid w:val="001554B1"/>
    <w:rsid w:val="00157434"/>
    <w:rsid w:val="00157893"/>
    <w:rsid w:val="001602BB"/>
    <w:rsid w:val="00160C0F"/>
    <w:rsid w:val="00162866"/>
    <w:rsid w:val="00163D8A"/>
    <w:rsid w:val="001672AF"/>
    <w:rsid w:val="001673EC"/>
    <w:rsid w:val="0016765E"/>
    <w:rsid w:val="0017294F"/>
    <w:rsid w:val="00176AF1"/>
    <w:rsid w:val="00176F5A"/>
    <w:rsid w:val="001807A9"/>
    <w:rsid w:val="001808D5"/>
    <w:rsid w:val="0018106B"/>
    <w:rsid w:val="00183243"/>
    <w:rsid w:val="00184A59"/>
    <w:rsid w:val="00185A76"/>
    <w:rsid w:val="00190AFD"/>
    <w:rsid w:val="0019469F"/>
    <w:rsid w:val="00194E61"/>
    <w:rsid w:val="0019521F"/>
    <w:rsid w:val="001968F7"/>
    <w:rsid w:val="00197B9A"/>
    <w:rsid w:val="001A034F"/>
    <w:rsid w:val="001A0DA4"/>
    <w:rsid w:val="001A0ECA"/>
    <w:rsid w:val="001A526A"/>
    <w:rsid w:val="001A69BB"/>
    <w:rsid w:val="001B1664"/>
    <w:rsid w:val="001B3C15"/>
    <w:rsid w:val="001B45FE"/>
    <w:rsid w:val="001B556D"/>
    <w:rsid w:val="001B64E8"/>
    <w:rsid w:val="001B7965"/>
    <w:rsid w:val="001C0D9B"/>
    <w:rsid w:val="001C3A1F"/>
    <w:rsid w:val="001C4F9D"/>
    <w:rsid w:val="001C5C4B"/>
    <w:rsid w:val="001C6173"/>
    <w:rsid w:val="001D27EC"/>
    <w:rsid w:val="001D3412"/>
    <w:rsid w:val="001D3E1F"/>
    <w:rsid w:val="001D4993"/>
    <w:rsid w:val="001D4A90"/>
    <w:rsid w:val="001D64CC"/>
    <w:rsid w:val="001D79C5"/>
    <w:rsid w:val="001E4EE5"/>
    <w:rsid w:val="001E5F28"/>
    <w:rsid w:val="001E635E"/>
    <w:rsid w:val="001E7237"/>
    <w:rsid w:val="001E7A1E"/>
    <w:rsid w:val="001F27A5"/>
    <w:rsid w:val="001F4D40"/>
    <w:rsid w:val="001F5BD6"/>
    <w:rsid w:val="001F6EE9"/>
    <w:rsid w:val="001F72CF"/>
    <w:rsid w:val="001F74BD"/>
    <w:rsid w:val="002010BC"/>
    <w:rsid w:val="00202753"/>
    <w:rsid w:val="00204605"/>
    <w:rsid w:val="00204F3C"/>
    <w:rsid w:val="00206D43"/>
    <w:rsid w:val="002115D4"/>
    <w:rsid w:val="00223627"/>
    <w:rsid w:val="00225445"/>
    <w:rsid w:val="00230D68"/>
    <w:rsid w:val="00231943"/>
    <w:rsid w:val="00231DCA"/>
    <w:rsid w:val="0023274C"/>
    <w:rsid w:val="00233595"/>
    <w:rsid w:val="00234217"/>
    <w:rsid w:val="0023432D"/>
    <w:rsid w:val="0023602A"/>
    <w:rsid w:val="00236B65"/>
    <w:rsid w:val="00237C47"/>
    <w:rsid w:val="00245AFE"/>
    <w:rsid w:val="00245C1A"/>
    <w:rsid w:val="00245F05"/>
    <w:rsid w:val="00245FC3"/>
    <w:rsid w:val="00247EEE"/>
    <w:rsid w:val="00256C58"/>
    <w:rsid w:val="0026121C"/>
    <w:rsid w:val="00262508"/>
    <w:rsid w:val="0026389A"/>
    <w:rsid w:val="00263D27"/>
    <w:rsid w:val="00272ED5"/>
    <w:rsid w:val="0027689A"/>
    <w:rsid w:val="00277C88"/>
    <w:rsid w:val="00283318"/>
    <w:rsid w:val="00283B6C"/>
    <w:rsid w:val="00283C05"/>
    <w:rsid w:val="00286D6B"/>
    <w:rsid w:val="002902BF"/>
    <w:rsid w:val="00290B2C"/>
    <w:rsid w:val="002946E6"/>
    <w:rsid w:val="00295447"/>
    <w:rsid w:val="002A130D"/>
    <w:rsid w:val="002A345A"/>
    <w:rsid w:val="002A56A7"/>
    <w:rsid w:val="002B48E7"/>
    <w:rsid w:val="002C17DA"/>
    <w:rsid w:val="002C1BD2"/>
    <w:rsid w:val="002C1F73"/>
    <w:rsid w:val="002C2F9C"/>
    <w:rsid w:val="002D03E1"/>
    <w:rsid w:val="002D0672"/>
    <w:rsid w:val="002D1FB0"/>
    <w:rsid w:val="002D5100"/>
    <w:rsid w:val="002D792E"/>
    <w:rsid w:val="002E24BB"/>
    <w:rsid w:val="002E3A77"/>
    <w:rsid w:val="002E4B32"/>
    <w:rsid w:val="002E7A36"/>
    <w:rsid w:val="002F3AFE"/>
    <w:rsid w:val="003001EA"/>
    <w:rsid w:val="003040D6"/>
    <w:rsid w:val="0030526A"/>
    <w:rsid w:val="00305A75"/>
    <w:rsid w:val="003077FF"/>
    <w:rsid w:val="0031242C"/>
    <w:rsid w:val="00312B8B"/>
    <w:rsid w:val="00312D25"/>
    <w:rsid w:val="00317FBB"/>
    <w:rsid w:val="00320486"/>
    <w:rsid w:val="00321BC8"/>
    <w:rsid w:val="0032242B"/>
    <w:rsid w:val="003225FF"/>
    <w:rsid w:val="003255D3"/>
    <w:rsid w:val="00325FB6"/>
    <w:rsid w:val="0032633C"/>
    <w:rsid w:val="003358FE"/>
    <w:rsid w:val="003372FE"/>
    <w:rsid w:val="00337A51"/>
    <w:rsid w:val="00342C1C"/>
    <w:rsid w:val="00342EC5"/>
    <w:rsid w:val="00342EF4"/>
    <w:rsid w:val="003436D8"/>
    <w:rsid w:val="00343E2B"/>
    <w:rsid w:val="0034429E"/>
    <w:rsid w:val="00345E7A"/>
    <w:rsid w:val="00350A94"/>
    <w:rsid w:val="00350FB2"/>
    <w:rsid w:val="003521B6"/>
    <w:rsid w:val="0035538D"/>
    <w:rsid w:val="003553FD"/>
    <w:rsid w:val="003626AA"/>
    <w:rsid w:val="003626BE"/>
    <w:rsid w:val="00363192"/>
    <w:rsid w:val="0036554A"/>
    <w:rsid w:val="00366ED2"/>
    <w:rsid w:val="003755AD"/>
    <w:rsid w:val="00376E9B"/>
    <w:rsid w:val="00377A39"/>
    <w:rsid w:val="00387145"/>
    <w:rsid w:val="0039186C"/>
    <w:rsid w:val="00396845"/>
    <w:rsid w:val="00396A61"/>
    <w:rsid w:val="00396A82"/>
    <w:rsid w:val="00397DE8"/>
    <w:rsid w:val="003A0377"/>
    <w:rsid w:val="003A049A"/>
    <w:rsid w:val="003A11E9"/>
    <w:rsid w:val="003A311D"/>
    <w:rsid w:val="003A6249"/>
    <w:rsid w:val="003B07F3"/>
    <w:rsid w:val="003B0FDA"/>
    <w:rsid w:val="003B22CE"/>
    <w:rsid w:val="003B3B0C"/>
    <w:rsid w:val="003B50E8"/>
    <w:rsid w:val="003B5D25"/>
    <w:rsid w:val="003B7C89"/>
    <w:rsid w:val="003C2B37"/>
    <w:rsid w:val="003C4A6A"/>
    <w:rsid w:val="003D05F8"/>
    <w:rsid w:val="003D3CE1"/>
    <w:rsid w:val="003D637C"/>
    <w:rsid w:val="003D7870"/>
    <w:rsid w:val="003E4487"/>
    <w:rsid w:val="003E4A9A"/>
    <w:rsid w:val="003E7BAF"/>
    <w:rsid w:val="003F0600"/>
    <w:rsid w:val="003F11CB"/>
    <w:rsid w:val="003F2A17"/>
    <w:rsid w:val="003F6B43"/>
    <w:rsid w:val="003F6D90"/>
    <w:rsid w:val="003F7609"/>
    <w:rsid w:val="003F7DDF"/>
    <w:rsid w:val="004013DE"/>
    <w:rsid w:val="00401744"/>
    <w:rsid w:val="0040574C"/>
    <w:rsid w:val="004064C8"/>
    <w:rsid w:val="00407388"/>
    <w:rsid w:val="00413C1C"/>
    <w:rsid w:val="00415312"/>
    <w:rsid w:val="004156A4"/>
    <w:rsid w:val="00415C74"/>
    <w:rsid w:val="00416356"/>
    <w:rsid w:val="0041645F"/>
    <w:rsid w:val="00417D05"/>
    <w:rsid w:val="00424E9B"/>
    <w:rsid w:val="00425E58"/>
    <w:rsid w:val="00426259"/>
    <w:rsid w:val="004274E2"/>
    <w:rsid w:val="00430488"/>
    <w:rsid w:val="004305D2"/>
    <w:rsid w:val="004315EF"/>
    <w:rsid w:val="0043478B"/>
    <w:rsid w:val="00434AA6"/>
    <w:rsid w:val="00435A88"/>
    <w:rsid w:val="004375F5"/>
    <w:rsid w:val="00437638"/>
    <w:rsid w:val="00437A96"/>
    <w:rsid w:val="00442FD6"/>
    <w:rsid w:val="004460CA"/>
    <w:rsid w:val="00452128"/>
    <w:rsid w:val="00453C29"/>
    <w:rsid w:val="00456643"/>
    <w:rsid w:val="0045709C"/>
    <w:rsid w:val="00457D85"/>
    <w:rsid w:val="00457ECA"/>
    <w:rsid w:val="00462451"/>
    <w:rsid w:val="0046297F"/>
    <w:rsid w:val="004655A7"/>
    <w:rsid w:val="004669D9"/>
    <w:rsid w:val="004674D5"/>
    <w:rsid w:val="0047416B"/>
    <w:rsid w:val="00474D4D"/>
    <w:rsid w:val="00476BF0"/>
    <w:rsid w:val="00476FA8"/>
    <w:rsid w:val="004789D3"/>
    <w:rsid w:val="00480F87"/>
    <w:rsid w:val="00483B48"/>
    <w:rsid w:val="0048468C"/>
    <w:rsid w:val="00484A56"/>
    <w:rsid w:val="00487A5A"/>
    <w:rsid w:val="00490593"/>
    <w:rsid w:val="0049326D"/>
    <w:rsid w:val="004972DE"/>
    <w:rsid w:val="004A04B1"/>
    <w:rsid w:val="004A39C5"/>
    <w:rsid w:val="004A4B43"/>
    <w:rsid w:val="004B0B34"/>
    <w:rsid w:val="004B57B3"/>
    <w:rsid w:val="004C19A4"/>
    <w:rsid w:val="004D0FFB"/>
    <w:rsid w:val="004D1648"/>
    <w:rsid w:val="004E267E"/>
    <w:rsid w:val="004E3FCB"/>
    <w:rsid w:val="004E4864"/>
    <w:rsid w:val="004E60CA"/>
    <w:rsid w:val="004E781D"/>
    <w:rsid w:val="004F18E1"/>
    <w:rsid w:val="004F1A64"/>
    <w:rsid w:val="004F66C2"/>
    <w:rsid w:val="004F73FB"/>
    <w:rsid w:val="00501270"/>
    <w:rsid w:val="00501CB7"/>
    <w:rsid w:val="00504C69"/>
    <w:rsid w:val="00505E52"/>
    <w:rsid w:val="00506234"/>
    <w:rsid w:val="00507BF3"/>
    <w:rsid w:val="00511468"/>
    <w:rsid w:val="00515545"/>
    <w:rsid w:val="00515ABC"/>
    <w:rsid w:val="00520AED"/>
    <w:rsid w:val="00523F2C"/>
    <w:rsid w:val="005241EA"/>
    <w:rsid w:val="00524BBF"/>
    <w:rsid w:val="00526092"/>
    <w:rsid w:val="00526BC3"/>
    <w:rsid w:val="00527490"/>
    <w:rsid w:val="005323B7"/>
    <w:rsid w:val="00532602"/>
    <w:rsid w:val="0053781E"/>
    <w:rsid w:val="00540423"/>
    <w:rsid w:val="005423A3"/>
    <w:rsid w:val="00542D4C"/>
    <w:rsid w:val="00544CE3"/>
    <w:rsid w:val="00545169"/>
    <w:rsid w:val="00545A1F"/>
    <w:rsid w:val="00545AE2"/>
    <w:rsid w:val="005512E9"/>
    <w:rsid w:val="00552FF5"/>
    <w:rsid w:val="005539DA"/>
    <w:rsid w:val="00555307"/>
    <w:rsid w:val="00560522"/>
    <w:rsid w:val="005632C4"/>
    <w:rsid w:val="005640A1"/>
    <w:rsid w:val="00565D8A"/>
    <w:rsid w:val="005666D8"/>
    <w:rsid w:val="00566FFF"/>
    <w:rsid w:val="00567B5B"/>
    <w:rsid w:val="0057021A"/>
    <w:rsid w:val="00570758"/>
    <w:rsid w:val="00571374"/>
    <w:rsid w:val="00573F98"/>
    <w:rsid w:val="00574DFB"/>
    <w:rsid w:val="00577DB2"/>
    <w:rsid w:val="005830A3"/>
    <w:rsid w:val="0058330A"/>
    <w:rsid w:val="0058451A"/>
    <w:rsid w:val="00584916"/>
    <w:rsid w:val="0058546C"/>
    <w:rsid w:val="00586D78"/>
    <w:rsid w:val="00593ABF"/>
    <w:rsid w:val="00593C48"/>
    <w:rsid w:val="005952C9"/>
    <w:rsid w:val="00596A6F"/>
    <w:rsid w:val="005A0CBD"/>
    <w:rsid w:val="005A0E06"/>
    <w:rsid w:val="005A2D4E"/>
    <w:rsid w:val="005A6DB5"/>
    <w:rsid w:val="005B26BB"/>
    <w:rsid w:val="005B516C"/>
    <w:rsid w:val="005B5710"/>
    <w:rsid w:val="005B6A08"/>
    <w:rsid w:val="005B720D"/>
    <w:rsid w:val="005B7A91"/>
    <w:rsid w:val="005C4224"/>
    <w:rsid w:val="005C4712"/>
    <w:rsid w:val="005C66B6"/>
    <w:rsid w:val="005D036F"/>
    <w:rsid w:val="005D1A68"/>
    <w:rsid w:val="005D2B7A"/>
    <w:rsid w:val="005D2D58"/>
    <w:rsid w:val="005D3988"/>
    <w:rsid w:val="005D52FE"/>
    <w:rsid w:val="005D6D31"/>
    <w:rsid w:val="005E147E"/>
    <w:rsid w:val="005E4FB2"/>
    <w:rsid w:val="005E769B"/>
    <w:rsid w:val="005F0924"/>
    <w:rsid w:val="005F0CB2"/>
    <w:rsid w:val="005F3C68"/>
    <w:rsid w:val="005F4925"/>
    <w:rsid w:val="005F763F"/>
    <w:rsid w:val="005F76E5"/>
    <w:rsid w:val="00600BA2"/>
    <w:rsid w:val="00600F84"/>
    <w:rsid w:val="00602164"/>
    <w:rsid w:val="0060692A"/>
    <w:rsid w:val="00607027"/>
    <w:rsid w:val="00610311"/>
    <w:rsid w:val="00611054"/>
    <w:rsid w:val="00611799"/>
    <w:rsid w:val="00612474"/>
    <w:rsid w:val="006129B7"/>
    <w:rsid w:val="00612FE5"/>
    <w:rsid w:val="0061417E"/>
    <w:rsid w:val="0061636C"/>
    <w:rsid w:val="006167CF"/>
    <w:rsid w:val="00617ED9"/>
    <w:rsid w:val="00620195"/>
    <w:rsid w:val="006205AC"/>
    <w:rsid w:val="0062215F"/>
    <w:rsid w:val="0062216C"/>
    <w:rsid w:val="00626F5D"/>
    <w:rsid w:val="00627CBA"/>
    <w:rsid w:val="00630B5D"/>
    <w:rsid w:val="00632EDF"/>
    <w:rsid w:val="00633FAD"/>
    <w:rsid w:val="006359B6"/>
    <w:rsid w:val="00636F5F"/>
    <w:rsid w:val="0064457F"/>
    <w:rsid w:val="00647BFC"/>
    <w:rsid w:val="00652E35"/>
    <w:rsid w:val="00657819"/>
    <w:rsid w:val="00661235"/>
    <w:rsid w:val="0066250D"/>
    <w:rsid w:val="006632E3"/>
    <w:rsid w:val="00663E14"/>
    <w:rsid w:val="00664264"/>
    <w:rsid w:val="00667585"/>
    <w:rsid w:val="00670FB5"/>
    <w:rsid w:val="00671D59"/>
    <w:rsid w:val="00673941"/>
    <w:rsid w:val="00674AE6"/>
    <w:rsid w:val="00677672"/>
    <w:rsid w:val="00677C84"/>
    <w:rsid w:val="006901A0"/>
    <w:rsid w:val="0069043C"/>
    <w:rsid w:val="00690F73"/>
    <w:rsid w:val="00695B08"/>
    <w:rsid w:val="00697A58"/>
    <w:rsid w:val="006A12B4"/>
    <w:rsid w:val="006A1B97"/>
    <w:rsid w:val="006A4E80"/>
    <w:rsid w:val="006A7103"/>
    <w:rsid w:val="006B037B"/>
    <w:rsid w:val="006B29DD"/>
    <w:rsid w:val="006B4CB7"/>
    <w:rsid w:val="006C521A"/>
    <w:rsid w:val="006C7633"/>
    <w:rsid w:val="006D0F71"/>
    <w:rsid w:val="006D34E7"/>
    <w:rsid w:val="006D3FE1"/>
    <w:rsid w:val="006D68D6"/>
    <w:rsid w:val="006E240E"/>
    <w:rsid w:val="006E417E"/>
    <w:rsid w:val="006E5B4B"/>
    <w:rsid w:val="006E6B4B"/>
    <w:rsid w:val="006F14E2"/>
    <w:rsid w:val="006F17D7"/>
    <w:rsid w:val="006F53C2"/>
    <w:rsid w:val="00700715"/>
    <w:rsid w:val="0070080B"/>
    <w:rsid w:val="007020D6"/>
    <w:rsid w:val="0070538E"/>
    <w:rsid w:val="00710E30"/>
    <w:rsid w:val="00712B1D"/>
    <w:rsid w:val="007131CF"/>
    <w:rsid w:val="0071433C"/>
    <w:rsid w:val="007162EE"/>
    <w:rsid w:val="007165A7"/>
    <w:rsid w:val="007165EC"/>
    <w:rsid w:val="00717AF4"/>
    <w:rsid w:val="007224C5"/>
    <w:rsid w:val="007229D5"/>
    <w:rsid w:val="00722C71"/>
    <w:rsid w:val="00726F79"/>
    <w:rsid w:val="00727A3A"/>
    <w:rsid w:val="007306B3"/>
    <w:rsid w:val="00732A22"/>
    <w:rsid w:val="007366BD"/>
    <w:rsid w:val="0074092E"/>
    <w:rsid w:val="007415C6"/>
    <w:rsid w:val="00742D05"/>
    <w:rsid w:val="00743D36"/>
    <w:rsid w:val="00743FA2"/>
    <w:rsid w:val="00745175"/>
    <w:rsid w:val="007455BD"/>
    <w:rsid w:val="00747B7D"/>
    <w:rsid w:val="00755853"/>
    <w:rsid w:val="00755ECF"/>
    <w:rsid w:val="00757D0B"/>
    <w:rsid w:val="00762249"/>
    <w:rsid w:val="00763F88"/>
    <w:rsid w:val="007644FF"/>
    <w:rsid w:val="00766997"/>
    <w:rsid w:val="00766FF4"/>
    <w:rsid w:val="00771319"/>
    <w:rsid w:val="00773237"/>
    <w:rsid w:val="00773D93"/>
    <w:rsid w:val="0077448F"/>
    <w:rsid w:val="00776DBA"/>
    <w:rsid w:val="007778C5"/>
    <w:rsid w:val="00781B46"/>
    <w:rsid w:val="007830D9"/>
    <w:rsid w:val="007833B3"/>
    <w:rsid w:val="00783803"/>
    <w:rsid w:val="007842E7"/>
    <w:rsid w:val="00785521"/>
    <w:rsid w:val="00786563"/>
    <w:rsid w:val="00790141"/>
    <w:rsid w:val="007964BC"/>
    <w:rsid w:val="007968C7"/>
    <w:rsid w:val="00797C0C"/>
    <w:rsid w:val="007A1FF8"/>
    <w:rsid w:val="007A498A"/>
    <w:rsid w:val="007A53C1"/>
    <w:rsid w:val="007A60A0"/>
    <w:rsid w:val="007B1DAE"/>
    <w:rsid w:val="007B30A1"/>
    <w:rsid w:val="007B35A5"/>
    <w:rsid w:val="007B5359"/>
    <w:rsid w:val="007B5B86"/>
    <w:rsid w:val="007B7DB3"/>
    <w:rsid w:val="007C0822"/>
    <w:rsid w:val="007C0C5D"/>
    <w:rsid w:val="007C1BC7"/>
    <w:rsid w:val="007C1F0D"/>
    <w:rsid w:val="007C2BE5"/>
    <w:rsid w:val="007C711C"/>
    <w:rsid w:val="007C75D4"/>
    <w:rsid w:val="007D395A"/>
    <w:rsid w:val="007D3D0F"/>
    <w:rsid w:val="007D411F"/>
    <w:rsid w:val="007D672A"/>
    <w:rsid w:val="007D6887"/>
    <w:rsid w:val="007E2E51"/>
    <w:rsid w:val="007E2E76"/>
    <w:rsid w:val="007F1FD7"/>
    <w:rsid w:val="007F282F"/>
    <w:rsid w:val="007F57E9"/>
    <w:rsid w:val="007F6CD7"/>
    <w:rsid w:val="007F709E"/>
    <w:rsid w:val="007F7CEF"/>
    <w:rsid w:val="00802B29"/>
    <w:rsid w:val="00811532"/>
    <w:rsid w:val="00812EA6"/>
    <w:rsid w:val="00813091"/>
    <w:rsid w:val="00815F38"/>
    <w:rsid w:val="00817A99"/>
    <w:rsid w:val="00817CC8"/>
    <w:rsid w:val="00822949"/>
    <w:rsid w:val="00823091"/>
    <w:rsid w:val="00827797"/>
    <w:rsid w:val="008322C8"/>
    <w:rsid w:val="00832B5D"/>
    <w:rsid w:val="00832D20"/>
    <w:rsid w:val="00834C1D"/>
    <w:rsid w:val="00835EB2"/>
    <w:rsid w:val="00837900"/>
    <w:rsid w:val="00840015"/>
    <w:rsid w:val="008429E1"/>
    <w:rsid w:val="008440FB"/>
    <w:rsid w:val="008441E5"/>
    <w:rsid w:val="00845951"/>
    <w:rsid w:val="00847222"/>
    <w:rsid w:val="00847885"/>
    <w:rsid w:val="00847DF5"/>
    <w:rsid w:val="00854721"/>
    <w:rsid w:val="00854762"/>
    <w:rsid w:val="008611B1"/>
    <w:rsid w:val="00863000"/>
    <w:rsid w:val="00866E7B"/>
    <w:rsid w:val="00874DE6"/>
    <w:rsid w:val="00877EBA"/>
    <w:rsid w:val="00880748"/>
    <w:rsid w:val="00880D09"/>
    <w:rsid w:val="00881C5D"/>
    <w:rsid w:val="00885F7B"/>
    <w:rsid w:val="008879B7"/>
    <w:rsid w:val="00887F28"/>
    <w:rsid w:val="008906E3"/>
    <w:rsid w:val="00893787"/>
    <w:rsid w:val="00894A24"/>
    <w:rsid w:val="008959AA"/>
    <w:rsid w:val="008A32E0"/>
    <w:rsid w:val="008A53A7"/>
    <w:rsid w:val="008A6737"/>
    <w:rsid w:val="008B4C90"/>
    <w:rsid w:val="008B58E6"/>
    <w:rsid w:val="008B5D64"/>
    <w:rsid w:val="008B5DD4"/>
    <w:rsid w:val="008B605E"/>
    <w:rsid w:val="008B654B"/>
    <w:rsid w:val="008C192B"/>
    <w:rsid w:val="008C220D"/>
    <w:rsid w:val="008C2A29"/>
    <w:rsid w:val="008C3357"/>
    <w:rsid w:val="008C7778"/>
    <w:rsid w:val="008D1A6F"/>
    <w:rsid w:val="008D26D8"/>
    <w:rsid w:val="008D3D21"/>
    <w:rsid w:val="008D5694"/>
    <w:rsid w:val="008D62B2"/>
    <w:rsid w:val="008D64C7"/>
    <w:rsid w:val="008D6F98"/>
    <w:rsid w:val="008D7352"/>
    <w:rsid w:val="008E45C1"/>
    <w:rsid w:val="008E6D03"/>
    <w:rsid w:val="008F027D"/>
    <w:rsid w:val="008F4A1F"/>
    <w:rsid w:val="008F4A75"/>
    <w:rsid w:val="008F4B95"/>
    <w:rsid w:val="0090004A"/>
    <w:rsid w:val="009006B5"/>
    <w:rsid w:val="00902E65"/>
    <w:rsid w:val="00904A11"/>
    <w:rsid w:val="009051AB"/>
    <w:rsid w:val="00905FCE"/>
    <w:rsid w:val="0090637F"/>
    <w:rsid w:val="00906D2C"/>
    <w:rsid w:val="009111D7"/>
    <w:rsid w:val="009253B6"/>
    <w:rsid w:val="009253C4"/>
    <w:rsid w:val="009272AF"/>
    <w:rsid w:val="00930F31"/>
    <w:rsid w:val="00934C5F"/>
    <w:rsid w:val="00941930"/>
    <w:rsid w:val="009432E5"/>
    <w:rsid w:val="00944B5A"/>
    <w:rsid w:val="00951146"/>
    <w:rsid w:val="00952676"/>
    <w:rsid w:val="009564CA"/>
    <w:rsid w:val="0096105F"/>
    <w:rsid w:val="00967723"/>
    <w:rsid w:val="009700A3"/>
    <w:rsid w:val="009708E2"/>
    <w:rsid w:val="00972766"/>
    <w:rsid w:val="009730BA"/>
    <w:rsid w:val="00975AA1"/>
    <w:rsid w:val="0098076B"/>
    <w:rsid w:val="00981693"/>
    <w:rsid w:val="0098460B"/>
    <w:rsid w:val="009850FC"/>
    <w:rsid w:val="009858F1"/>
    <w:rsid w:val="00986F10"/>
    <w:rsid w:val="00990EA3"/>
    <w:rsid w:val="00991136"/>
    <w:rsid w:val="00991182"/>
    <w:rsid w:val="00991966"/>
    <w:rsid w:val="00991B8A"/>
    <w:rsid w:val="009923B9"/>
    <w:rsid w:val="00992693"/>
    <w:rsid w:val="00993633"/>
    <w:rsid w:val="00993BFD"/>
    <w:rsid w:val="0099748F"/>
    <w:rsid w:val="009A17A9"/>
    <w:rsid w:val="009A21F3"/>
    <w:rsid w:val="009A68D2"/>
    <w:rsid w:val="009B0A7F"/>
    <w:rsid w:val="009B42A4"/>
    <w:rsid w:val="009B45BF"/>
    <w:rsid w:val="009B6536"/>
    <w:rsid w:val="009C491C"/>
    <w:rsid w:val="009C6390"/>
    <w:rsid w:val="009C77DB"/>
    <w:rsid w:val="009C7CA7"/>
    <w:rsid w:val="009D1ADF"/>
    <w:rsid w:val="009D2D63"/>
    <w:rsid w:val="009D3ACF"/>
    <w:rsid w:val="009D596D"/>
    <w:rsid w:val="009E1CAE"/>
    <w:rsid w:val="009E3276"/>
    <w:rsid w:val="009E45B4"/>
    <w:rsid w:val="009E46CF"/>
    <w:rsid w:val="009E4780"/>
    <w:rsid w:val="009E4BB0"/>
    <w:rsid w:val="009F03A5"/>
    <w:rsid w:val="009F4809"/>
    <w:rsid w:val="00A01A2D"/>
    <w:rsid w:val="00A031A8"/>
    <w:rsid w:val="00A04C08"/>
    <w:rsid w:val="00A10314"/>
    <w:rsid w:val="00A1284E"/>
    <w:rsid w:val="00A1472A"/>
    <w:rsid w:val="00A175FE"/>
    <w:rsid w:val="00A208A1"/>
    <w:rsid w:val="00A217C6"/>
    <w:rsid w:val="00A21ABE"/>
    <w:rsid w:val="00A22E36"/>
    <w:rsid w:val="00A26C8E"/>
    <w:rsid w:val="00A3036A"/>
    <w:rsid w:val="00A3156A"/>
    <w:rsid w:val="00A31991"/>
    <w:rsid w:val="00A34498"/>
    <w:rsid w:val="00A35064"/>
    <w:rsid w:val="00A4025F"/>
    <w:rsid w:val="00A4134E"/>
    <w:rsid w:val="00A443BC"/>
    <w:rsid w:val="00A44913"/>
    <w:rsid w:val="00A47DDA"/>
    <w:rsid w:val="00A551AB"/>
    <w:rsid w:val="00A63C43"/>
    <w:rsid w:val="00A64D3E"/>
    <w:rsid w:val="00A66F24"/>
    <w:rsid w:val="00A743D3"/>
    <w:rsid w:val="00A75216"/>
    <w:rsid w:val="00A75A12"/>
    <w:rsid w:val="00A76A5E"/>
    <w:rsid w:val="00A77074"/>
    <w:rsid w:val="00A777B8"/>
    <w:rsid w:val="00A77996"/>
    <w:rsid w:val="00A80858"/>
    <w:rsid w:val="00A80BBB"/>
    <w:rsid w:val="00A82996"/>
    <w:rsid w:val="00A82ACE"/>
    <w:rsid w:val="00A862A4"/>
    <w:rsid w:val="00A87A1E"/>
    <w:rsid w:val="00A90A58"/>
    <w:rsid w:val="00A91F9F"/>
    <w:rsid w:val="00A96143"/>
    <w:rsid w:val="00A975FA"/>
    <w:rsid w:val="00A97EB3"/>
    <w:rsid w:val="00AA19DB"/>
    <w:rsid w:val="00AA4684"/>
    <w:rsid w:val="00AA4D62"/>
    <w:rsid w:val="00AA50D1"/>
    <w:rsid w:val="00AB089A"/>
    <w:rsid w:val="00AB3777"/>
    <w:rsid w:val="00AB4E85"/>
    <w:rsid w:val="00AB5656"/>
    <w:rsid w:val="00AB65C2"/>
    <w:rsid w:val="00AB7E65"/>
    <w:rsid w:val="00AC1082"/>
    <w:rsid w:val="00AC11B8"/>
    <w:rsid w:val="00AC3830"/>
    <w:rsid w:val="00AC5A64"/>
    <w:rsid w:val="00AC641D"/>
    <w:rsid w:val="00AC707F"/>
    <w:rsid w:val="00AC7A9E"/>
    <w:rsid w:val="00AC7CF4"/>
    <w:rsid w:val="00AD0525"/>
    <w:rsid w:val="00AD0B79"/>
    <w:rsid w:val="00AD0FD8"/>
    <w:rsid w:val="00AD1EB2"/>
    <w:rsid w:val="00AD4583"/>
    <w:rsid w:val="00AD54A1"/>
    <w:rsid w:val="00AD6179"/>
    <w:rsid w:val="00AD6652"/>
    <w:rsid w:val="00AD741C"/>
    <w:rsid w:val="00AE271C"/>
    <w:rsid w:val="00AE2BB3"/>
    <w:rsid w:val="00AE398C"/>
    <w:rsid w:val="00AE4044"/>
    <w:rsid w:val="00AE4B9E"/>
    <w:rsid w:val="00AE613B"/>
    <w:rsid w:val="00AE6891"/>
    <w:rsid w:val="00AE76B6"/>
    <w:rsid w:val="00AF17C8"/>
    <w:rsid w:val="00AF1D88"/>
    <w:rsid w:val="00AF2070"/>
    <w:rsid w:val="00AF4BED"/>
    <w:rsid w:val="00AF6961"/>
    <w:rsid w:val="00AF7486"/>
    <w:rsid w:val="00AF7A0A"/>
    <w:rsid w:val="00AF7E6F"/>
    <w:rsid w:val="00B00343"/>
    <w:rsid w:val="00B00FDE"/>
    <w:rsid w:val="00B03B89"/>
    <w:rsid w:val="00B05806"/>
    <w:rsid w:val="00B11277"/>
    <w:rsid w:val="00B122D9"/>
    <w:rsid w:val="00B130B9"/>
    <w:rsid w:val="00B139F2"/>
    <w:rsid w:val="00B141C9"/>
    <w:rsid w:val="00B14EC5"/>
    <w:rsid w:val="00B14F43"/>
    <w:rsid w:val="00B15A9B"/>
    <w:rsid w:val="00B15B6D"/>
    <w:rsid w:val="00B179BB"/>
    <w:rsid w:val="00B2323C"/>
    <w:rsid w:val="00B23B53"/>
    <w:rsid w:val="00B24538"/>
    <w:rsid w:val="00B24A0C"/>
    <w:rsid w:val="00B2652D"/>
    <w:rsid w:val="00B32761"/>
    <w:rsid w:val="00B33AA1"/>
    <w:rsid w:val="00B34173"/>
    <w:rsid w:val="00B36627"/>
    <w:rsid w:val="00B3788B"/>
    <w:rsid w:val="00B400A7"/>
    <w:rsid w:val="00B41FC5"/>
    <w:rsid w:val="00B43782"/>
    <w:rsid w:val="00B47A7F"/>
    <w:rsid w:val="00B56C5D"/>
    <w:rsid w:val="00B607A5"/>
    <w:rsid w:val="00B61894"/>
    <w:rsid w:val="00B61A05"/>
    <w:rsid w:val="00B61A65"/>
    <w:rsid w:val="00B6362E"/>
    <w:rsid w:val="00B67667"/>
    <w:rsid w:val="00B73584"/>
    <w:rsid w:val="00B74995"/>
    <w:rsid w:val="00B749A2"/>
    <w:rsid w:val="00B75744"/>
    <w:rsid w:val="00B83389"/>
    <w:rsid w:val="00B8679E"/>
    <w:rsid w:val="00B97E31"/>
    <w:rsid w:val="00BA372E"/>
    <w:rsid w:val="00BA3789"/>
    <w:rsid w:val="00BA3A35"/>
    <w:rsid w:val="00BA3EA0"/>
    <w:rsid w:val="00BA402B"/>
    <w:rsid w:val="00BA681B"/>
    <w:rsid w:val="00BB2A6D"/>
    <w:rsid w:val="00BB4FCF"/>
    <w:rsid w:val="00BC1E3A"/>
    <w:rsid w:val="00BC21D2"/>
    <w:rsid w:val="00BC36AC"/>
    <w:rsid w:val="00BC422B"/>
    <w:rsid w:val="00BC4A5A"/>
    <w:rsid w:val="00BC785D"/>
    <w:rsid w:val="00BD0E06"/>
    <w:rsid w:val="00BD1534"/>
    <w:rsid w:val="00BD69C0"/>
    <w:rsid w:val="00BE31AA"/>
    <w:rsid w:val="00BE7AA5"/>
    <w:rsid w:val="00BF37A4"/>
    <w:rsid w:val="00C00B7B"/>
    <w:rsid w:val="00C03E11"/>
    <w:rsid w:val="00C05208"/>
    <w:rsid w:val="00C06F6F"/>
    <w:rsid w:val="00C11869"/>
    <w:rsid w:val="00C13781"/>
    <w:rsid w:val="00C13C90"/>
    <w:rsid w:val="00C14D97"/>
    <w:rsid w:val="00C15B45"/>
    <w:rsid w:val="00C17253"/>
    <w:rsid w:val="00C177FE"/>
    <w:rsid w:val="00C20E92"/>
    <w:rsid w:val="00C2399D"/>
    <w:rsid w:val="00C249F0"/>
    <w:rsid w:val="00C32D04"/>
    <w:rsid w:val="00C35B66"/>
    <w:rsid w:val="00C37F79"/>
    <w:rsid w:val="00C402B8"/>
    <w:rsid w:val="00C4430D"/>
    <w:rsid w:val="00C44AAD"/>
    <w:rsid w:val="00C45001"/>
    <w:rsid w:val="00C5601D"/>
    <w:rsid w:val="00C63760"/>
    <w:rsid w:val="00C63D7F"/>
    <w:rsid w:val="00C70696"/>
    <w:rsid w:val="00C70EE4"/>
    <w:rsid w:val="00C738BF"/>
    <w:rsid w:val="00C82A7B"/>
    <w:rsid w:val="00C82DF8"/>
    <w:rsid w:val="00C8724E"/>
    <w:rsid w:val="00C9015B"/>
    <w:rsid w:val="00C92722"/>
    <w:rsid w:val="00C93110"/>
    <w:rsid w:val="00CA011A"/>
    <w:rsid w:val="00CA0FEE"/>
    <w:rsid w:val="00CA1DE9"/>
    <w:rsid w:val="00CA3438"/>
    <w:rsid w:val="00CA49AF"/>
    <w:rsid w:val="00CA64F6"/>
    <w:rsid w:val="00CA7E6C"/>
    <w:rsid w:val="00CB0E3F"/>
    <w:rsid w:val="00CB18CA"/>
    <w:rsid w:val="00CB6BB0"/>
    <w:rsid w:val="00CB71C4"/>
    <w:rsid w:val="00CB7471"/>
    <w:rsid w:val="00CB7DAC"/>
    <w:rsid w:val="00CC0CE7"/>
    <w:rsid w:val="00CC0D8E"/>
    <w:rsid w:val="00CC0FDF"/>
    <w:rsid w:val="00CC1BF8"/>
    <w:rsid w:val="00CC2C92"/>
    <w:rsid w:val="00CC3C3F"/>
    <w:rsid w:val="00CC71D0"/>
    <w:rsid w:val="00CD0CE1"/>
    <w:rsid w:val="00CD1945"/>
    <w:rsid w:val="00CD1B99"/>
    <w:rsid w:val="00CD3EE0"/>
    <w:rsid w:val="00CD4781"/>
    <w:rsid w:val="00CD5AED"/>
    <w:rsid w:val="00CD6501"/>
    <w:rsid w:val="00CE2311"/>
    <w:rsid w:val="00CE3CC4"/>
    <w:rsid w:val="00CE607B"/>
    <w:rsid w:val="00CF1FDA"/>
    <w:rsid w:val="00CF37FD"/>
    <w:rsid w:val="00CF3B40"/>
    <w:rsid w:val="00CF4CDC"/>
    <w:rsid w:val="00D0029E"/>
    <w:rsid w:val="00D032E1"/>
    <w:rsid w:val="00D04371"/>
    <w:rsid w:val="00D051C4"/>
    <w:rsid w:val="00D106DE"/>
    <w:rsid w:val="00D118F1"/>
    <w:rsid w:val="00D11BC8"/>
    <w:rsid w:val="00D12429"/>
    <w:rsid w:val="00D133E9"/>
    <w:rsid w:val="00D16916"/>
    <w:rsid w:val="00D22C7F"/>
    <w:rsid w:val="00D2391B"/>
    <w:rsid w:val="00D24121"/>
    <w:rsid w:val="00D25A1C"/>
    <w:rsid w:val="00D30A61"/>
    <w:rsid w:val="00D31EE4"/>
    <w:rsid w:val="00D3613F"/>
    <w:rsid w:val="00D376FD"/>
    <w:rsid w:val="00D505C1"/>
    <w:rsid w:val="00D512F3"/>
    <w:rsid w:val="00D5444D"/>
    <w:rsid w:val="00D548C2"/>
    <w:rsid w:val="00D559AD"/>
    <w:rsid w:val="00D563FB"/>
    <w:rsid w:val="00D60F9D"/>
    <w:rsid w:val="00D63B5A"/>
    <w:rsid w:val="00D63F1A"/>
    <w:rsid w:val="00D66ECE"/>
    <w:rsid w:val="00D67168"/>
    <w:rsid w:val="00D67AAA"/>
    <w:rsid w:val="00D67B12"/>
    <w:rsid w:val="00D72721"/>
    <w:rsid w:val="00D8447C"/>
    <w:rsid w:val="00D868ED"/>
    <w:rsid w:val="00D92400"/>
    <w:rsid w:val="00D93517"/>
    <w:rsid w:val="00DA24C6"/>
    <w:rsid w:val="00DA53DF"/>
    <w:rsid w:val="00DA67B1"/>
    <w:rsid w:val="00DB0891"/>
    <w:rsid w:val="00DB0EB2"/>
    <w:rsid w:val="00DB246D"/>
    <w:rsid w:val="00DB303A"/>
    <w:rsid w:val="00DC0366"/>
    <w:rsid w:val="00DC0D56"/>
    <w:rsid w:val="00DC16AE"/>
    <w:rsid w:val="00DC206C"/>
    <w:rsid w:val="00DC5866"/>
    <w:rsid w:val="00DD2B5E"/>
    <w:rsid w:val="00DD3EAA"/>
    <w:rsid w:val="00DD70CF"/>
    <w:rsid w:val="00DE1E07"/>
    <w:rsid w:val="00DE228A"/>
    <w:rsid w:val="00DE40A1"/>
    <w:rsid w:val="00DE5EA7"/>
    <w:rsid w:val="00DE7637"/>
    <w:rsid w:val="00DF04F5"/>
    <w:rsid w:val="00DF066C"/>
    <w:rsid w:val="00DF3275"/>
    <w:rsid w:val="00DF37AB"/>
    <w:rsid w:val="00E00411"/>
    <w:rsid w:val="00E11861"/>
    <w:rsid w:val="00E11C43"/>
    <w:rsid w:val="00E121E8"/>
    <w:rsid w:val="00E168B7"/>
    <w:rsid w:val="00E20088"/>
    <w:rsid w:val="00E2384B"/>
    <w:rsid w:val="00E249EE"/>
    <w:rsid w:val="00E25BD7"/>
    <w:rsid w:val="00E25DFA"/>
    <w:rsid w:val="00E26354"/>
    <w:rsid w:val="00E30201"/>
    <w:rsid w:val="00E30B2B"/>
    <w:rsid w:val="00E31E7F"/>
    <w:rsid w:val="00E346D1"/>
    <w:rsid w:val="00E350A3"/>
    <w:rsid w:val="00E36296"/>
    <w:rsid w:val="00E37D7F"/>
    <w:rsid w:val="00E417E1"/>
    <w:rsid w:val="00E45BDE"/>
    <w:rsid w:val="00E45F21"/>
    <w:rsid w:val="00E46BD5"/>
    <w:rsid w:val="00E47DB4"/>
    <w:rsid w:val="00E506EC"/>
    <w:rsid w:val="00E54601"/>
    <w:rsid w:val="00E56C5C"/>
    <w:rsid w:val="00E6021D"/>
    <w:rsid w:val="00E6076C"/>
    <w:rsid w:val="00E66B82"/>
    <w:rsid w:val="00E66C2E"/>
    <w:rsid w:val="00E66EC6"/>
    <w:rsid w:val="00E706DD"/>
    <w:rsid w:val="00E7679B"/>
    <w:rsid w:val="00E81950"/>
    <w:rsid w:val="00E81F6F"/>
    <w:rsid w:val="00E82E4F"/>
    <w:rsid w:val="00E8542B"/>
    <w:rsid w:val="00E87C32"/>
    <w:rsid w:val="00E90792"/>
    <w:rsid w:val="00E91C49"/>
    <w:rsid w:val="00E943EB"/>
    <w:rsid w:val="00E953D3"/>
    <w:rsid w:val="00E97DAE"/>
    <w:rsid w:val="00E97FC6"/>
    <w:rsid w:val="00EA1457"/>
    <w:rsid w:val="00EA2A38"/>
    <w:rsid w:val="00EA3519"/>
    <w:rsid w:val="00EA42E5"/>
    <w:rsid w:val="00EA45CF"/>
    <w:rsid w:val="00EA475F"/>
    <w:rsid w:val="00EA5CCC"/>
    <w:rsid w:val="00EA79E3"/>
    <w:rsid w:val="00EB264D"/>
    <w:rsid w:val="00EB2F21"/>
    <w:rsid w:val="00EB47DF"/>
    <w:rsid w:val="00EB5B6D"/>
    <w:rsid w:val="00EB753D"/>
    <w:rsid w:val="00EB7A3A"/>
    <w:rsid w:val="00EC0546"/>
    <w:rsid w:val="00EC1469"/>
    <w:rsid w:val="00EC537A"/>
    <w:rsid w:val="00EC5BCA"/>
    <w:rsid w:val="00EC5E3D"/>
    <w:rsid w:val="00ED2811"/>
    <w:rsid w:val="00ED4734"/>
    <w:rsid w:val="00ED5C9C"/>
    <w:rsid w:val="00ED6133"/>
    <w:rsid w:val="00ED6437"/>
    <w:rsid w:val="00ED6661"/>
    <w:rsid w:val="00ED77BE"/>
    <w:rsid w:val="00EE0501"/>
    <w:rsid w:val="00EE0A2D"/>
    <w:rsid w:val="00EE1B46"/>
    <w:rsid w:val="00EE1CBB"/>
    <w:rsid w:val="00EE1F09"/>
    <w:rsid w:val="00EE3F93"/>
    <w:rsid w:val="00EE49D9"/>
    <w:rsid w:val="00EE5053"/>
    <w:rsid w:val="00EE564E"/>
    <w:rsid w:val="00EE58DB"/>
    <w:rsid w:val="00EE5BDA"/>
    <w:rsid w:val="00EE60D7"/>
    <w:rsid w:val="00EE6FB6"/>
    <w:rsid w:val="00EF2548"/>
    <w:rsid w:val="00EF354E"/>
    <w:rsid w:val="00EF66F3"/>
    <w:rsid w:val="00EF78DC"/>
    <w:rsid w:val="00EF7C9C"/>
    <w:rsid w:val="00EF7D10"/>
    <w:rsid w:val="00F01972"/>
    <w:rsid w:val="00F02A79"/>
    <w:rsid w:val="00F077D8"/>
    <w:rsid w:val="00F1181A"/>
    <w:rsid w:val="00F127B6"/>
    <w:rsid w:val="00F1634B"/>
    <w:rsid w:val="00F1683C"/>
    <w:rsid w:val="00F23319"/>
    <w:rsid w:val="00F235CE"/>
    <w:rsid w:val="00F26608"/>
    <w:rsid w:val="00F26B47"/>
    <w:rsid w:val="00F274F6"/>
    <w:rsid w:val="00F31695"/>
    <w:rsid w:val="00F34FE5"/>
    <w:rsid w:val="00F35948"/>
    <w:rsid w:val="00F37379"/>
    <w:rsid w:val="00F37398"/>
    <w:rsid w:val="00F4135B"/>
    <w:rsid w:val="00F4234D"/>
    <w:rsid w:val="00F43996"/>
    <w:rsid w:val="00F441A7"/>
    <w:rsid w:val="00F4426A"/>
    <w:rsid w:val="00F46AE6"/>
    <w:rsid w:val="00F46D36"/>
    <w:rsid w:val="00F5341B"/>
    <w:rsid w:val="00F53E0B"/>
    <w:rsid w:val="00F55F27"/>
    <w:rsid w:val="00F603FD"/>
    <w:rsid w:val="00F60F27"/>
    <w:rsid w:val="00F6198B"/>
    <w:rsid w:val="00F62911"/>
    <w:rsid w:val="00F63390"/>
    <w:rsid w:val="00F64685"/>
    <w:rsid w:val="00F67203"/>
    <w:rsid w:val="00F72FE2"/>
    <w:rsid w:val="00F73303"/>
    <w:rsid w:val="00F73B26"/>
    <w:rsid w:val="00F7470F"/>
    <w:rsid w:val="00F74A70"/>
    <w:rsid w:val="00F75BEF"/>
    <w:rsid w:val="00F81FA0"/>
    <w:rsid w:val="00F92091"/>
    <w:rsid w:val="00F9280B"/>
    <w:rsid w:val="00F932B1"/>
    <w:rsid w:val="00F965D6"/>
    <w:rsid w:val="00FA0AA2"/>
    <w:rsid w:val="00FA3011"/>
    <w:rsid w:val="00FA305F"/>
    <w:rsid w:val="00FA688B"/>
    <w:rsid w:val="00FB0A51"/>
    <w:rsid w:val="00FB2757"/>
    <w:rsid w:val="00FB3688"/>
    <w:rsid w:val="00FB3CC4"/>
    <w:rsid w:val="00FB3F47"/>
    <w:rsid w:val="00FB4737"/>
    <w:rsid w:val="00FB5241"/>
    <w:rsid w:val="00FB78A1"/>
    <w:rsid w:val="00FB7995"/>
    <w:rsid w:val="00FC01A2"/>
    <w:rsid w:val="00FC2CC0"/>
    <w:rsid w:val="00FC38D3"/>
    <w:rsid w:val="00FC55B2"/>
    <w:rsid w:val="00FC6B8C"/>
    <w:rsid w:val="00FD020F"/>
    <w:rsid w:val="00FD11FF"/>
    <w:rsid w:val="00FD23B7"/>
    <w:rsid w:val="00FD3DA7"/>
    <w:rsid w:val="00FD41BA"/>
    <w:rsid w:val="00FD6EDD"/>
    <w:rsid w:val="00FD7575"/>
    <w:rsid w:val="00FE29A7"/>
    <w:rsid w:val="00FF20C5"/>
    <w:rsid w:val="00FF3337"/>
    <w:rsid w:val="00FF5432"/>
    <w:rsid w:val="00FF5D0A"/>
    <w:rsid w:val="00FF6D82"/>
    <w:rsid w:val="00FF7D95"/>
    <w:rsid w:val="0301BBE2"/>
    <w:rsid w:val="03A6B43B"/>
    <w:rsid w:val="03D5997D"/>
    <w:rsid w:val="05528655"/>
    <w:rsid w:val="0627C135"/>
    <w:rsid w:val="073671BD"/>
    <w:rsid w:val="073FFCD3"/>
    <w:rsid w:val="08026CDB"/>
    <w:rsid w:val="0ACBA8CF"/>
    <w:rsid w:val="0B04A013"/>
    <w:rsid w:val="0D12790C"/>
    <w:rsid w:val="0DBE0107"/>
    <w:rsid w:val="0E469D01"/>
    <w:rsid w:val="10A1124F"/>
    <w:rsid w:val="1151D1CF"/>
    <w:rsid w:val="130C12F9"/>
    <w:rsid w:val="1344D760"/>
    <w:rsid w:val="14CDDCBD"/>
    <w:rsid w:val="14D301C9"/>
    <w:rsid w:val="15107793"/>
    <w:rsid w:val="159F5077"/>
    <w:rsid w:val="15F4300F"/>
    <w:rsid w:val="166782B0"/>
    <w:rsid w:val="16AD2F15"/>
    <w:rsid w:val="171053D3"/>
    <w:rsid w:val="173076C3"/>
    <w:rsid w:val="17E77C44"/>
    <w:rsid w:val="189A88A3"/>
    <w:rsid w:val="1951981D"/>
    <w:rsid w:val="1A6583D8"/>
    <w:rsid w:val="1DC6F5C5"/>
    <w:rsid w:val="205306D5"/>
    <w:rsid w:val="209486F8"/>
    <w:rsid w:val="22E785A0"/>
    <w:rsid w:val="231A060A"/>
    <w:rsid w:val="2346C96D"/>
    <w:rsid w:val="241DF139"/>
    <w:rsid w:val="243D148F"/>
    <w:rsid w:val="2675810C"/>
    <w:rsid w:val="268CF375"/>
    <w:rsid w:val="283F7D5D"/>
    <w:rsid w:val="287449FB"/>
    <w:rsid w:val="2909B3B6"/>
    <w:rsid w:val="2945C18B"/>
    <w:rsid w:val="29CA14A7"/>
    <w:rsid w:val="29D22AC7"/>
    <w:rsid w:val="2AA34C27"/>
    <w:rsid w:val="2AA86D4B"/>
    <w:rsid w:val="2AB6CA21"/>
    <w:rsid w:val="2AFAA131"/>
    <w:rsid w:val="2C612206"/>
    <w:rsid w:val="2C62900D"/>
    <w:rsid w:val="2C7B9B91"/>
    <w:rsid w:val="2CFF74C1"/>
    <w:rsid w:val="2D83B15A"/>
    <w:rsid w:val="2DECC329"/>
    <w:rsid w:val="2DEDDA60"/>
    <w:rsid w:val="2DFEB95F"/>
    <w:rsid w:val="30F69C35"/>
    <w:rsid w:val="3111CBC0"/>
    <w:rsid w:val="32D9D3A3"/>
    <w:rsid w:val="3479C40E"/>
    <w:rsid w:val="369CFA17"/>
    <w:rsid w:val="37200A0B"/>
    <w:rsid w:val="379182F8"/>
    <w:rsid w:val="38355688"/>
    <w:rsid w:val="39056995"/>
    <w:rsid w:val="392A159A"/>
    <w:rsid w:val="39EE6020"/>
    <w:rsid w:val="3AEAA77B"/>
    <w:rsid w:val="3AF18636"/>
    <w:rsid w:val="3B0F20F3"/>
    <w:rsid w:val="3C216FBD"/>
    <w:rsid w:val="3D855558"/>
    <w:rsid w:val="3E052196"/>
    <w:rsid w:val="402A3568"/>
    <w:rsid w:val="40B0D2D6"/>
    <w:rsid w:val="40C62999"/>
    <w:rsid w:val="413E41D3"/>
    <w:rsid w:val="41D9B9CB"/>
    <w:rsid w:val="423EF4B7"/>
    <w:rsid w:val="43A3257D"/>
    <w:rsid w:val="43ACF281"/>
    <w:rsid w:val="43E89D07"/>
    <w:rsid w:val="444959A8"/>
    <w:rsid w:val="444A3AA2"/>
    <w:rsid w:val="458BD9D8"/>
    <w:rsid w:val="4591B94D"/>
    <w:rsid w:val="4610556F"/>
    <w:rsid w:val="4666307D"/>
    <w:rsid w:val="49A2736A"/>
    <w:rsid w:val="49F27242"/>
    <w:rsid w:val="4A4C6EA1"/>
    <w:rsid w:val="4A6C4B28"/>
    <w:rsid w:val="4B8A9FA3"/>
    <w:rsid w:val="4BDBB6C1"/>
    <w:rsid w:val="4C4B95AC"/>
    <w:rsid w:val="4C76C5F4"/>
    <w:rsid w:val="4CDEB737"/>
    <w:rsid w:val="4D2CE91D"/>
    <w:rsid w:val="4EBE400D"/>
    <w:rsid w:val="51FB136C"/>
    <w:rsid w:val="52601DB7"/>
    <w:rsid w:val="528916CF"/>
    <w:rsid w:val="52906897"/>
    <w:rsid w:val="55849B29"/>
    <w:rsid w:val="55B25541"/>
    <w:rsid w:val="55F13563"/>
    <w:rsid w:val="56B492E4"/>
    <w:rsid w:val="58176E3D"/>
    <w:rsid w:val="58E8DE00"/>
    <w:rsid w:val="5950A6A4"/>
    <w:rsid w:val="59B2A6FD"/>
    <w:rsid w:val="5BB5576F"/>
    <w:rsid w:val="5CAB1439"/>
    <w:rsid w:val="5E6ADA93"/>
    <w:rsid w:val="5ECB4242"/>
    <w:rsid w:val="5EED4FEE"/>
    <w:rsid w:val="5EFC9E2C"/>
    <w:rsid w:val="5F173936"/>
    <w:rsid w:val="5FF51D16"/>
    <w:rsid w:val="60AA49CD"/>
    <w:rsid w:val="60ECE844"/>
    <w:rsid w:val="63F1C60E"/>
    <w:rsid w:val="65546908"/>
    <w:rsid w:val="66146B77"/>
    <w:rsid w:val="674B71C1"/>
    <w:rsid w:val="67D5EA8E"/>
    <w:rsid w:val="698BCDAA"/>
    <w:rsid w:val="6A4C6B66"/>
    <w:rsid w:val="6A72DCB8"/>
    <w:rsid w:val="6B014DD2"/>
    <w:rsid w:val="6B281A14"/>
    <w:rsid w:val="6CE530D0"/>
    <w:rsid w:val="6CECEA09"/>
    <w:rsid w:val="6D2F7524"/>
    <w:rsid w:val="6E1492C8"/>
    <w:rsid w:val="6E3B57CA"/>
    <w:rsid w:val="6E9FA3DB"/>
    <w:rsid w:val="6FBC3EB0"/>
    <w:rsid w:val="712EE4D5"/>
    <w:rsid w:val="71825B72"/>
    <w:rsid w:val="71BC1F5C"/>
    <w:rsid w:val="7200E639"/>
    <w:rsid w:val="72CEE180"/>
    <w:rsid w:val="74BD1E78"/>
    <w:rsid w:val="75E88CF5"/>
    <w:rsid w:val="760971A8"/>
    <w:rsid w:val="76EAE44A"/>
    <w:rsid w:val="77D33018"/>
    <w:rsid w:val="77E3AD33"/>
    <w:rsid w:val="79FFA191"/>
    <w:rsid w:val="7ADCE2CB"/>
    <w:rsid w:val="7B4C4F69"/>
    <w:rsid w:val="7D8C6309"/>
    <w:rsid w:val="7ED5AF5A"/>
    <w:rsid w:val="7FC9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0C99C"/>
  <w15:docId w15:val="{23DF77B8-42AD-1F49-8078-F911A4EF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F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6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20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55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5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55B"/>
    <w:rPr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F64685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9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4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9748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4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748F"/>
    <w:rPr>
      <w:b/>
      <w:bCs/>
      <w:lang w:eastAsia="en-US"/>
    </w:rPr>
  </w:style>
  <w:style w:type="paragraph" w:styleId="NormalWeb">
    <w:name w:val="Normal (Web)"/>
    <w:basedOn w:val="Normal"/>
    <w:uiPriority w:val="99"/>
    <w:rsid w:val="00840015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FC6B8C"/>
  </w:style>
  <w:style w:type="paragraph" w:customStyle="1" w:styleId="Default">
    <w:name w:val="Default"/>
    <w:rsid w:val="000B6C03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1D79C5"/>
    <w:pPr>
      <w:suppressAutoHyphens/>
      <w:spacing w:after="240" w:line="240" w:lineRule="auto"/>
    </w:pPr>
    <w:rPr>
      <w:rFonts w:ascii="Arial" w:eastAsia="Times New Roman" w:hAnsi="Arial"/>
      <w:kern w:val="12"/>
      <w:sz w:val="20"/>
      <w:szCs w:val="24"/>
    </w:rPr>
  </w:style>
  <w:style w:type="character" w:customStyle="1" w:styleId="EYBodytextwithparaspaceChar">
    <w:name w:val="EY Body text (with para space) Char"/>
    <w:basedOn w:val="DefaultParagraphFont"/>
    <w:link w:val="EYBodytextwithparaspace"/>
    <w:rsid w:val="001D79C5"/>
    <w:rPr>
      <w:rFonts w:ascii="Arial" w:eastAsia="Times New Roman" w:hAnsi="Arial"/>
      <w:kern w:val="12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0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7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1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7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3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6" ma:contentTypeDescription="Create a new document." ma:contentTypeScope="" ma:versionID="26601ca9966dc14dbb3b7dc889200716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304d88afcad844321926db0080eb68d9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8523eb-6f0c-49c1-84cc-57a8cf7a09f6}" ma:internalName="TaxCatchAll" ma:showField="CatchAllData" ma:web="61453b0b-e893-41b5-af7c-8a766d621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453b0b-e893-41b5-af7c-8a766d62107e" xsi:nil="true"/>
    <lcf76f155ced4ddcb4097134ff3c332f xmlns="8dcad7d7-d287-47c9-a126-0f5ce902e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F038F-6486-4404-BAA1-B53B8CE53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4BE885-859B-4C66-94A0-003CAF04538A}"/>
</file>

<file path=customXml/itemProps3.xml><?xml version="1.0" encoding="utf-8"?>
<ds:datastoreItem xmlns:ds="http://schemas.openxmlformats.org/officeDocument/2006/customXml" ds:itemID="{FC116080-CEBF-4636-8AF0-C676BFBA29C4}"/>
</file>

<file path=customXml/itemProps4.xml><?xml version="1.0" encoding="utf-8"?>
<ds:datastoreItem xmlns:ds="http://schemas.openxmlformats.org/officeDocument/2006/customXml" ds:itemID="{CA90EE6F-577A-48D1-95BA-4C8769CA7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1543</Words>
  <Characters>8800</Characters>
  <Application>Microsoft Office Word</Application>
  <DocSecurity>0</DocSecurity>
  <Lines>73</Lines>
  <Paragraphs>20</Paragraphs>
  <ScaleCrop>false</ScaleCrop>
  <Company>University of Stirling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frw1</dc:creator>
  <cp:keywords/>
  <cp:lastModifiedBy>Moray Nichol</cp:lastModifiedBy>
  <cp:revision>3</cp:revision>
  <cp:lastPrinted>2018-06-11T16:08:00Z</cp:lastPrinted>
  <dcterms:created xsi:type="dcterms:W3CDTF">2021-12-03T14:25:00Z</dcterms:created>
  <dcterms:modified xsi:type="dcterms:W3CDTF">2021-12-06T18:13:00Z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