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E2F5" w14:textId="75B4F247" w:rsidR="00C97FBF" w:rsidRPr="001B18B3" w:rsidRDefault="007D5259" w:rsidP="00C97FBF">
      <w:pPr>
        <w:spacing w:line="360" w:lineRule="auto"/>
        <w:ind w:left="720"/>
        <w:jc w:val="righ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2B275ED5" wp14:editId="0F3169CF">
            <wp:extent cx="2156460" cy="8991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4" b="12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9B69C" w14:textId="77777777" w:rsidR="00C97FBF" w:rsidRPr="00561DC1" w:rsidRDefault="00C97FBF" w:rsidP="00C97FBF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561DC1">
        <w:rPr>
          <w:rFonts w:asciiTheme="minorHAnsi" w:hAnsiTheme="minorHAnsi"/>
          <w:b/>
          <w:color w:val="000000" w:themeColor="text1"/>
          <w:sz w:val="32"/>
          <w:szCs w:val="32"/>
        </w:rPr>
        <w:t>UNIVERSITY COURT</w:t>
      </w:r>
    </w:p>
    <w:p w14:paraId="7F3F3DD5" w14:textId="77777777" w:rsidR="00C97FBF" w:rsidRPr="005B0A54" w:rsidRDefault="00C97FBF" w:rsidP="00C97FBF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834194D" w14:textId="77777777" w:rsidR="00C97FBF" w:rsidRPr="00561DC1" w:rsidRDefault="00C97FBF" w:rsidP="00C97FBF">
      <w:pPr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561DC1">
        <w:rPr>
          <w:rFonts w:asciiTheme="minorHAnsi" w:hAnsiTheme="minorHAnsi"/>
          <w:b/>
          <w:color w:val="000000" w:themeColor="text1"/>
          <w:sz w:val="32"/>
          <w:szCs w:val="32"/>
        </w:rPr>
        <w:t>SUMMARY OF THE ROLE OF THE CHAIR OF COURT</w:t>
      </w:r>
    </w:p>
    <w:p w14:paraId="41BB81CE" w14:textId="77777777" w:rsidR="00C97FBF" w:rsidRPr="005B0A54" w:rsidRDefault="00C97FBF" w:rsidP="00C97FBF">
      <w:pPr>
        <w:autoSpaceDE w:val="0"/>
        <w:autoSpaceDN w:val="0"/>
        <w:adjustRightInd w:val="0"/>
        <w:rPr>
          <w:rFonts w:asciiTheme="minorHAnsi" w:hAnsiTheme="minorHAnsi"/>
          <w:i/>
          <w:iCs/>
          <w:color w:val="000000" w:themeColor="text1"/>
        </w:rPr>
      </w:pPr>
    </w:p>
    <w:p w14:paraId="37A8296F" w14:textId="25C44C0A" w:rsidR="00406E45" w:rsidRPr="00406E45" w:rsidRDefault="00406E45">
      <w:pPr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406E45">
        <w:rPr>
          <w:rFonts w:asciiTheme="minorHAnsi" w:hAnsiTheme="minorHAnsi"/>
          <w:b/>
          <w:bCs/>
          <w:color w:val="000000" w:themeColor="text1"/>
          <w:sz w:val="28"/>
          <w:szCs w:val="28"/>
        </w:rPr>
        <w:t>The role of the Chair of Court</w:t>
      </w:r>
    </w:p>
    <w:p w14:paraId="566E0426" w14:textId="77777777" w:rsidR="00406E45" w:rsidRDefault="00406E45" w:rsidP="00B97DA6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5BB209" w14:textId="76A5EC7A" w:rsidR="00B97DA6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97DA6">
        <w:rPr>
          <w:rFonts w:asciiTheme="minorHAnsi" w:hAnsiTheme="minorHAnsi" w:cstheme="minorHAnsi"/>
          <w:color w:val="000000" w:themeColor="text1"/>
          <w:sz w:val="22"/>
          <w:szCs w:val="22"/>
        </w:rPr>
        <w:t>The Chair is responsible for the leadership and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97DA6">
        <w:rPr>
          <w:rFonts w:asciiTheme="minorHAnsi" w:hAnsiTheme="minorHAnsi" w:cstheme="minorHAnsi"/>
          <w:color w:val="000000" w:themeColor="text1"/>
          <w:sz w:val="22"/>
          <w:szCs w:val="22"/>
        </w:rPr>
        <w:t>effectiveness of Court and shall ensure that the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97DA6">
        <w:rPr>
          <w:rFonts w:asciiTheme="minorHAnsi" w:hAnsiTheme="minorHAnsi" w:cstheme="minorHAnsi"/>
          <w:color w:val="000000" w:themeColor="text1"/>
          <w:sz w:val="22"/>
          <w:szCs w:val="22"/>
        </w:rPr>
        <w:t>University is well connected with its stakeholders,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97DA6">
        <w:rPr>
          <w:rFonts w:asciiTheme="minorHAnsi" w:hAnsiTheme="minorHAnsi" w:cstheme="minorHAnsi"/>
          <w:color w:val="000000" w:themeColor="text1"/>
          <w:sz w:val="22"/>
          <w:szCs w:val="22"/>
        </w:rPr>
        <w:t>including its staff and students.</w:t>
      </w:r>
    </w:p>
    <w:p w14:paraId="153ADD77" w14:textId="0E4ED275" w:rsidR="00B97DA6" w:rsidRPr="00EE0849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8CB930" w14:textId="1D9CB616" w:rsidR="00B97DA6" w:rsidRPr="00EE0849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0849">
        <w:rPr>
          <w:rFonts w:asciiTheme="minorHAnsi" w:hAnsiTheme="minorHAnsi" w:cstheme="minorHAnsi"/>
          <w:sz w:val="22"/>
          <w:szCs w:val="22"/>
        </w:rPr>
        <w:t>In overseeing the discharge of duties, the Chair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should ensure that Court members work together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effectively and efficiently and have confidence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in the procedures laid down for the conduct of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business. It is incumbent on the Chair that, both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individually and collectively, Members of Court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observe the nine principles of public life in Scotland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as defined by the Scottish Government’s Model Code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of Conduct for Members of Devolved Public Bodies.</w:t>
      </w:r>
    </w:p>
    <w:p w14:paraId="5D710C9B" w14:textId="77777777" w:rsidR="00EE0849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0849">
        <w:rPr>
          <w:rFonts w:asciiTheme="minorHAnsi" w:hAnsiTheme="minorHAnsi" w:cstheme="minorHAnsi"/>
          <w:sz w:val="22"/>
          <w:szCs w:val="22"/>
        </w:rPr>
        <w:t>These are: duty; selflessness; integrity; accountability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and stewardship; objectivity; openness; honesty;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leadership and respect.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0EC09" w14:textId="77777777" w:rsidR="00EE0849" w:rsidRDefault="00EE0849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0EC9D23" w14:textId="63F508C9" w:rsidR="00B97DA6" w:rsidRPr="00EE0849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0849">
        <w:rPr>
          <w:rFonts w:asciiTheme="minorHAnsi" w:hAnsiTheme="minorHAnsi" w:cstheme="minorHAnsi"/>
          <w:sz w:val="22"/>
          <w:szCs w:val="22"/>
        </w:rPr>
        <w:t>The Chair of Court plays a key leadership role in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University business but should not be drawn into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the day-to-day executive management of the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institution. A critical component of institutional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effectiveness is the establishment of a constructive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working relationship between the Chair of Court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and the Principal. The relationship should be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mutually supportive but respectful of the checks and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balances imposed by the different roles within the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University’s constitutional framework.</w:t>
      </w:r>
    </w:p>
    <w:p w14:paraId="12044C06" w14:textId="49E53A87" w:rsidR="00B97DA6" w:rsidRPr="00EE0849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FF0C497" w14:textId="77777777" w:rsidR="00EE0849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0849">
        <w:rPr>
          <w:rFonts w:asciiTheme="minorHAnsi" w:hAnsiTheme="minorHAnsi" w:cstheme="minorHAnsi"/>
          <w:sz w:val="22"/>
          <w:szCs w:val="22"/>
        </w:rPr>
        <w:t>There is also a close working relationship between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the Chair of Court and the University Secretary with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whom there is a direct reporting link in relation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to the conduct of Court business. The University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Secretary provides guidance to the Court in terms of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its responsibilities and discharge of duties under the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University’s Charter, Statutes and Ordinances.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08917" w14:textId="77777777" w:rsidR="00EE0849" w:rsidRDefault="00EE0849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C8C8E1" w14:textId="77777777" w:rsidR="00EE0849" w:rsidRDefault="00B97DA6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E0849">
        <w:rPr>
          <w:rFonts w:asciiTheme="minorHAnsi" w:hAnsiTheme="minorHAnsi" w:cstheme="minorHAnsi"/>
          <w:sz w:val="22"/>
          <w:szCs w:val="22"/>
        </w:rPr>
        <w:t>The performance of the Chair is reviewed annually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by Court in accordance with the Scottish Code for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  <w:r w:rsidRPr="00EE0849">
        <w:rPr>
          <w:rFonts w:asciiTheme="minorHAnsi" w:hAnsiTheme="minorHAnsi" w:cstheme="minorHAnsi"/>
          <w:sz w:val="22"/>
          <w:szCs w:val="22"/>
        </w:rPr>
        <w:t>Good Higher Education Governance.</w:t>
      </w:r>
      <w:r w:rsidR="00EE08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8701A" w14:textId="77777777" w:rsidR="00EE0849" w:rsidRDefault="00EE0849" w:rsidP="00406E4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F2EA6A" w14:textId="68DEED43" w:rsidR="0092505E" w:rsidRPr="00561DC1" w:rsidRDefault="00EE0849">
      <w:pPr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Chair of Court Responsibilities</w:t>
      </w:r>
    </w:p>
    <w:p w14:paraId="6147A969" w14:textId="153B0B05" w:rsidR="005B0A54" w:rsidRPr="00561DC1" w:rsidRDefault="005B0A54">
      <w:pPr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2F2E3584" w14:textId="77777777" w:rsidR="005B0A54" w:rsidRPr="00561DC1" w:rsidRDefault="005B0A54" w:rsidP="005B0A54">
      <w:pPr>
        <w:rPr>
          <w:rFonts w:asciiTheme="minorHAnsi" w:hAnsiTheme="minorHAnsi"/>
          <w:bCs/>
          <w:i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i/>
          <w:color w:val="000000" w:themeColor="text1"/>
          <w:sz w:val="22"/>
          <w:szCs w:val="22"/>
        </w:rPr>
        <w:t>Effective and Inclusive Meetings</w:t>
      </w:r>
    </w:p>
    <w:p w14:paraId="1AC7D95B" w14:textId="0B83B62F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preside at meetings of Court</w:t>
      </w:r>
      <w:r w:rsidR="00561DC1">
        <w:rPr>
          <w:rFonts w:asciiTheme="minorHAnsi" w:hAnsiTheme="minorHAnsi"/>
          <w:bCs/>
          <w:color w:val="000000" w:themeColor="text1"/>
          <w:sz w:val="22"/>
          <w:szCs w:val="22"/>
        </w:rPr>
        <w:t>;</w:t>
      </w:r>
    </w:p>
    <w:p w14:paraId="7FEA27B6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ensure that members work together effectively, cohesively and in good spirit and have confidence in the procedures laid down;</w:t>
      </w:r>
    </w:p>
    <w:p w14:paraId="55025F09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ensure that Court discusses all of the key issues affecting the University and that its business is conducted smoothly and in accordance with Standing Orders;</w:t>
      </w:r>
    </w:p>
    <w:p w14:paraId="5704C817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contribute to collective decision-making and act only in the interests of the University;</w:t>
      </w:r>
    </w:p>
    <w:p w14:paraId="6D7D02CE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>To ensure that Court operates efficiently and effectively, with all members having the opportunity to express their views and to participate in, and contribute to, decision-making;</w:t>
      </w:r>
    </w:p>
    <w:p w14:paraId="6FE17A9D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To 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monitor on an ongoing basis the performance of the Court, and ensure that it both observes </w:t>
      </w: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the principles of public life</w:t>
      </w:r>
      <w:r w:rsidRPr="00561DC1">
        <w:rPr>
          <w:rStyle w:val="FootnoteReference"/>
          <w:rFonts w:asciiTheme="minorHAnsi" w:hAnsiTheme="minorHAnsi"/>
          <w:bCs/>
          <w:color w:val="000000" w:themeColor="text1"/>
          <w:sz w:val="22"/>
          <w:szCs w:val="22"/>
        </w:rPr>
        <w:footnoteReference w:id="1"/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 and operates in a manner consistent with the concepts of good practice in corporate governance in higher education</w:t>
      </w: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;</w:t>
      </w:r>
    </w:p>
    <w:p w14:paraId="3829DAE3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color w:val="000000" w:themeColor="text1"/>
          <w:sz w:val="22"/>
          <w:szCs w:val="22"/>
        </w:rPr>
        <w:t>To Chair the Governance &amp; Nominations Committee, and be involved as a member of such other committees and working groups as Court may determine from time to time including the Remunerations Committee;</w:t>
      </w:r>
    </w:p>
    <w:p w14:paraId="38BF0810" w14:textId="39F282B1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ensure that Court committees report appropriately on their work, and in particular o</w:t>
      </w:r>
      <w:r w:rsidR="00406E45">
        <w:rPr>
          <w:rFonts w:asciiTheme="minorHAnsi" w:hAnsiTheme="minorHAnsi"/>
          <w:bCs/>
          <w:color w:val="000000" w:themeColor="text1"/>
          <w:sz w:val="22"/>
          <w:szCs w:val="22"/>
        </w:rPr>
        <w:t>n their use of delegated powers.</w:t>
      </w:r>
    </w:p>
    <w:p w14:paraId="13A5203D" w14:textId="77777777" w:rsidR="005B0A54" w:rsidRPr="00561DC1" w:rsidRDefault="005B0A54" w:rsidP="005B0A54">
      <w:pPr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40D27025" w14:textId="77777777" w:rsidR="005B0A54" w:rsidRPr="00561DC1" w:rsidRDefault="005B0A54" w:rsidP="005B0A54">
      <w:pPr>
        <w:rPr>
          <w:rFonts w:asciiTheme="minorHAnsi" w:hAnsiTheme="minorHAnsi"/>
          <w:bCs/>
          <w:i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i/>
          <w:color w:val="000000" w:themeColor="text1"/>
          <w:sz w:val="22"/>
          <w:szCs w:val="22"/>
        </w:rPr>
        <w:t>Personal Integrity</w:t>
      </w:r>
    </w:p>
    <w:p w14:paraId="642506D1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act at all times in ways that are consistent with the University’s values and especially its commitment to equality, diversity and inclusion;</w:t>
      </w:r>
    </w:p>
    <w:p w14:paraId="7B8375C9" w14:textId="368D402D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To be answerable to Court </w:t>
      </w:r>
      <w:r w:rsidR="00406E45">
        <w:rPr>
          <w:rFonts w:asciiTheme="minorHAnsi" w:hAnsiTheme="minorHAnsi"/>
          <w:bCs/>
          <w:color w:val="000000" w:themeColor="text1"/>
          <w:sz w:val="22"/>
          <w:szCs w:val="22"/>
        </w:rPr>
        <w:t>for actions taken on its behalf.</w:t>
      </w:r>
    </w:p>
    <w:p w14:paraId="7D4A9581" w14:textId="77777777" w:rsidR="005B0A54" w:rsidRPr="00561DC1" w:rsidRDefault="005B0A54" w:rsidP="005B0A54">
      <w:pPr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31566EE0" w14:textId="56F0EFF5" w:rsidR="005B0A54" w:rsidRPr="00561DC1" w:rsidRDefault="005B0A54" w:rsidP="005B0A54">
      <w:pPr>
        <w:rPr>
          <w:rFonts w:asciiTheme="minorHAnsi" w:hAnsiTheme="minorHAnsi"/>
          <w:bCs/>
          <w:i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i/>
          <w:color w:val="000000" w:themeColor="text1"/>
          <w:sz w:val="22"/>
          <w:szCs w:val="22"/>
        </w:rPr>
        <w:t>Governance</w:t>
      </w:r>
    </w:p>
    <w:p w14:paraId="5BE84856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ensure that the effectiveness of Court and its members are regularly reviewed;</w:t>
      </w:r>
    </w:p>
    <w:p w14:paraId="792BF796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take delegated action when agreed by Court and to report back to Court on any action taken on its behalf;</w:t>
      </w:r>
    </w:p>
    <w:p w14:paraId="26C6285C" w14:textId="7066AAB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To work with officers to ensure the induction of </w:t>
      </w:r>
      <w:r w:rsidR="00406E45">
        <w:rPr>
          <w:rFonts w:asciiTheme="minorHAnsi" w:hAnsiTheme="minorHAnsi"/>
          <w:color w:val="000000" w:themeColor="text1"/>
          <w:sz w:val="22"/>
          <w:szCs w:val="22"/>
        </w:rPr>
        <w:t>new members.</w:t>
      </w:r>
    </w:p>
    <w:p w14:paraId="1B07166F" w14:textId="77777777" w:rsidR="005B0A54" w:rsidRPr="00561DC1" w:rsidRDefault="005B0A54" w:rsidP="005B0A54">
      <w:pPr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79F45EF6" w14:textId="77777777" w:rsidR="005B0A54" w:rsidRPr="00561DC1" w:rsidRDefault="005B0A54" w:rsidP="005B0A54">
      <w:pPr>
        <w:rPr>
          <w:rFonts w:asciiTheme="minorHAnsi" w:hAnsiTheme="minorHAnsi"/>
          <w:bCs/>
          <w:i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i/>
          <w:color w:val="000000" w:themeColor="text1"/>
          <w:sz w:val="22"/>
          <w:szCs w:val="22"/>
        </w:rPr>
        <w:t>Interface with Management and the Executive</w:t>
      </w:r>
    </w:p>
    <w:p w14:paraId="2EEBFDE0" w14:textId="7DA7DD04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To ensure there is an appropriate balance of authority between the Court and the Principal </w:t>
      </w:r>
      <w:r w:rsidR="00EE0849">
        <w:rPr>
          <w:rFonts w:asciiTheme="minorHAnsi" w:hAnsiTheme="minorHAnsi"/>
          <w:bCs/>
          <w:color w:val="000000" w:themeColor="text1"/>
          <w:sz w:val="22"/>
          <w:szCs w:val="22"/>
        </w:rPr>
        <w:t>and</w:t>
      </w: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Vice-Chancellor and to develop and maintain a constructive, but appropriately challenging, relationship with the Principal </w:t>
      </w:r>
      <w:r w:rsidR="00406E45">
        <w:rPr>
          <w:rFonts w:asciiTheme="minorHAnsi" w:hAnsiTheme="minorHAnsi"/>
          <w:bCs/>
          <w:color w:val="000000" w:themeColor="text1"/>
          <w:sz w:val="22"/>
          <w:szCs w:val="22"/>
        </w:rPr>
        <w:t>and</w:t>
      </w: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Vice-Chancellor </w:t>
      </w:r>
      <w:r w:rsidR="00406E45">
        <w:rPr>
          <w:rFonts w:asciiTheme="minorHAnsi" w:hAnsiTheme="minorHAnsi"/>
          <w:bCs/>
          <w:color w:val="000000" w:themeColor="text1"/>
          <w:sz w:val="22"/>
          <w:szCs w:val="22"/>
        </w:rPr>
        <w:t>which</w:t>
      </w: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is mutually supportive but properly distinct;</w:t>
      </w:r>
    </w:p>
    <w:p w14:paraId="2E77539E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To develop and maintain a constructive, but appropriately challenging, relationship with the University Secretary and those officers that support the work of Court whilst maintaining a distinction between the role of management and governors; </w:t>
      </w:r>
    </w:p>
    <w:p w14:paraId="32CF94B0" w14:textId="51C5309A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a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ppraise, on an annual basis, the performance of the Principal </w:t>
      </w:r>
      <w:r w:rsidR="00406E45">
        <w:rPr>
          <w:rFonts w:asciiTheme="minorHAnsi" w:hAnsiTheme="minorHAnsi"/>
          <w:color w:val="000000" w:themeColor="text1"/>
          <w:sz w:val="22"/>
          <w:szCs w:val="22"/>
        </w:rPr>
        <w:t>and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 Vice-Chancellor including seeking and considering th</w:t>
      </w:r>
      <w:r w:rsidR="00406E45">
        <w:rPr>
          <w:rFonts w:asciiTheme="minorHAnsi" w:hAnsiTheme="minorHAnsi"/>
          <w:color w:val="000000" w:themeColor="text1"/>
          <w:sz w:val="22"/>
          <w:szCs w:val="22"/>
        </w:rPr>
        <w:t>e views of each member of Court.</w:t>
      </w:r>
    </w:p>
    <w:p w14:paraId="6087F7EE" w14:textId="77777777" w:rsidR="005B0A54" w:rsidRPr="00561DC1" w:rsidRDefault="005B0A54" w:rsidP="005B0A54">
      <w:pPr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5B3F570D" w14:textId="77777777" w:rsidR="005B0A54" w:rsidRPr="00561DC1" w:rsidRDefault="005B0A54" w:rsidP="005B0A54">
      <w:pPr>
        <w:rPr>
          <w:rFonts w:asciiTheme="minorHAnsi" w:hAnsiTheme="minorHAnsi"/>
          <w:bCs/>
          <w:i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i/>
          <w:color w:val="000000" w:themeColor="text1"/>
          <w:sz w:val="22"/>
          <w:szCs w:val="22"/>
        </w:rPr>
        <w:t>Ambassadorial Role</w:t>
      </w:r>
    </w:p>
    <w:p w14:paraId="27FB75A6" w14:textId="77777777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color w:val="000000" w:themeColor="text1"/>
          <w:sz w:val="22"/>
          <w:szCs w:val="22"/>
        </w:rPr>
        <w:t>To act as an ambassador for the University at internal and external meetings, events and other occasions as appropriate;</w:t>
      </w:r>
    </w:p>
    <w:p w14:paraId="74DD38AB" w14:textId="572B9A39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To represent the University on the Committee of University Chairs (CUC) and on such other bodies as Court </w:t>
      </w:r>
      <w:r w:rsidR="00406E45">
        <w:rPr>
          <w:rFonts w:asciiTheme="minorHAnsi" w:hAnsiTheme="minorHAnsi"/>
          <w:color w:val="000000" w:themeColor="text1"/>
          <w:sz w:val="22"/>
          <w:szCs w:val="22"/>
        </w:rPr>
        <w:t>may determine from time to time;</w:t>
      </w:r>
    </w:p>
    <w:p w14:paraId="65D3F061" w14:textId="6DC2D723" w:rsidR="005B0A54" w:rsidRPr="00561DC1" w:rsidRDefault="005B0A54" w:rsidP="005B0A54">
      <w:pPr>
        <w:numPr>
          <w:ilvl w:val="0"/>
          <w:numId w:val="2"/>
        </w:num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bCs/>
          <w:color w:val="000000" w:themeColor="text1"/>
          <w:sz w:val="22"/>
          <w:szCs w:val="22"/>
        </w:rPr>
        <w:t>To be responsible to the University’s stakeholders for the leadership and effect</w:t>
      </w:r>
      <w:r w:rsidR="00406E45">
        <w:rPr>
          <w:rFonts w:asciiTheme="minorHAnsi" w:hAnsiTheme="minorHAnsi"/>
          <w:bCs/>
          <w:color w:val="000000" w:themeColor="text1"/>
          <w:sz w:val="22"/>
          <w:szCs w:val="22"/>
        </w:rPr>
        <w:t>iveness of the University Court.</w:t>
      </w:r>
    </w:p>
    <w:p w14:paraId="15228B8C" w14:textId="69502D55" w:rsidR="005B0A54" w:rsidRPr="00561DC1" w:rsidRDefault="005B0A54">
      <w:pPr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01AC6D4B" w14:textId="77777777" w:rsidR="00406E45" w:rsidRDefault="00406E45">
      <w:pPr>
        <w:jc w:val="left"/>
        <w:rPr>
          <w:rFonts w:asciiTheme="minorHAnsi" w:hAnsiTheme="minorHAnsi" w:cs="AvantGarde-ExtraLight"/>
          <w:b/>
          <w:color w:val="000000" w:themeColor="text1"/>
          <w:sz w:val="28"/>
          <w:szCs w:val="28"/>
        </w:rPr>
      </w:pPr>
      <w:r>
        <w:rPr>
          <w:rFonts w:asciiTheme="minorHAnsi" w:hAnsiTheme="minorHAnsi" w:cs="AvantGarde-ExtraLight"/>
          <w:b/>
          <w:color w:val="000000" w:themeColor="text1"/>
          <w:sz w:val="28"/>
          <w:szCs w:val="28"/>
        </w:rPr>
        <w:br w:type="page"/>
      </w:r>
    </w:p>
    <w:p w14:paraId="706708F6" w14:textId="5701F8A3" w:rsidR="005B0A54" w:rsidRPr="00561DC1" w:rsidRDefault="005B0A54" w:rsidP="005B0A54">
      <w:pPr>
        <w:rPr>
          <w:rFonts w:asciiTheme="minorHAnsi" w:hAnsiTheme="minorHAnsi" w:cs="AvantGarde-ExtraLight"/>
          <w:b/>
          <w:color w:val="000000" w:themeColor="text1"/>
          <w:sz w:val="28"/>
          <w:szCs w:val="28"/>
        </w:rPr>
      </w:pPr>
      <w:r w:rsidRPr="00561DC1">
        <w:rPr>
          <w:rFonts w:asciiTheme="minorHAnsi" w:hAnsiTheme="minorHAnsi" w:cs="AvantGarde-ExtraLight"/>
          <w:b/>
          <w:color w:val="000000" w:themeColor="text1"/>
          <w:sz w:val="28"/>
          <w:szCs w:val="28"/>
        </w:rPr>
        <w:lastRenderedPageBreak/>
        <w:t>Role specification</w:t>
      </w:r>
    </w:p>
    <w:p w14:paraId="27B951CC" w14:textId="77777777" w:rsidR="00561DC1" w:rsidRDefault="00561DC1" w:rsidP="005B0A54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DED5DBE" w14:textId="7B9F4224" w:rsidR="005B0A54" w:rsidRPr="00561DC1" w:rsidRDefault="005B0A54" w:rsidP="005B0A54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color w:val="000000" w:themeColor="text1"/>
          <w:sz w:val="22"/>
          <w:szCs w:val="22"/>
        </w:rPr>
        <w:t>In addition to the competencies required of all lay members of Court, the following represent key attributes for the role of Chair:</w:t>
      </w:r>
    </w:p>
    <w:p w14:paraId="020DFE9C" w14:textId="77777777" w:rsidR="005B0A54" w:rsidRPr="00561DC1" w:rsidRDefault="005B0A54" w:rsidP="005B0A54">
      <w:pPr>
        <w:autoSpaceDE w:val="0"/>
        <w:autoSpaceDN w:val="0"/>
        <w:adjustRightInd w:val="0"/>
        <w:rPr>
          <w:rFonts w:asciiTheme="minorHAnsi" w:hAnsiTheme="minorHAnsi" w:cs="AvantGarde-Demi"/>
          <w:color w:val="000000" w:themeColor="text1"/>
          <w:sz w:val="22"/>
          <w:szCs w:val="22"/>
        </w:rPr>
      </w:pPr>
    </w:p>
    <w:p w14:paraId="3BCFABF2" w14:textId="2F103C84" w:rsidR="005B0A54" w:rsidRPr="00561DC1" w:rsidRDefault="005B0A54" w:rsidP="005B0A54">
      <w:pPr>
        <w:autoSpaceDE w:val="0"/>
        <w:autoSpaceDN w:val="0"/>
        <w:adjustRightInd w:val="0"/>
        <w:rPr>
          <w:rFonts w:asciiTheme="minorHAnsi" w:hAnsiTheme="minorHAnsi" w:cs="AvantGarde-Demi"/>
          <w:color w:val="000000" w:themeColor="text1"/>
          <w:sz w:val="22"/>
          <w:szCs w:val="22"/>
          <w:u w:val="single"/>
        </w:rPr>
      </w:pPr>
      <w:r w:rsidRPr="00561DC1">
        <w:rPr>
          <w:rFonts w:asciiTheme="minorHAnsi" w:hAnsiTheme="minorHAnsi" w:cs="AvantGarde-Demi"/>
          <w:color w:val="000000" w:themeColor="text1"/>
          <w:sz w:val="22"/>
          <w:szCs w:val="22"/>
          <w:u w:val="single"/>
        </w:rPr>
        <w:t>Experience and knowledge</w:t>
      </w:r>
    </w:p>
    <w:p w14:paraId="29043004" w14:textId="77777777" w:rsidR="005B0A54" w:rsidRPr="00561DC1" w:rsidRDefault="005B0A54" w:rsidP="005B0A54">
      <w:pPr>
        <w:autoSpaceDE w:val="0"/>
        <w:autoSpaceDN w:val="0"/>
        <w:adjustRightInd w:val="0"/>
        <w:rPr>
          <w:rFonts w:asciiTheme="minorHAnsi" w:hAnsiTheme="minorHAnsi" w:cs="AvantGarde-BookOblique"/>
          <w:i/>
          <w:iCs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Oblique"/>
          <w:i/>
          <w:iCs/>
          <w:color w:val="000000" w:themeColor="text1"/>
          <w:sz w:val="22"/>
          <w:szCs w:val="22"/>
        </w:rPr>
        <w:t>Essential</w:t>
      </w:r>
    </w:p>
    <w:p w14:paraId="20B2DFC6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Significant leadership experience of strategic issues within a large complex organisation;</w:t>
      </w:r>
    </w:p>
    <w:p w14:paraId="093F6C00" w14:textId="38B15C9C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</w:r>
      <w:r w:rsidR="00406E45">
        <w:rPr>
          <w:rFonts w:asciiTheme="minorHAnsi" w:hAnsiTheme="minorHAnsi" w:cs="AvantGarde-Book"/>
          <w:color w:val="000000" w:themeColor="text1"/>
          <w:sz w:val="22"/>
          <w:szCs w:val="22"/>
        </w:rPr>
        <w:t>P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>rofessional expertise in matters relevant to the successful operations of a large, diverse organisation, e.g. commercial acumen, human resources, risk management, organisational change;</w:t>
      </w:r>
    </w:p>
    <w:p w14:paraId="611EF0E6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Experience of chairing high level, strategic board and committee meetings;</w:t>
      </w:r>
    </w:p>
    <w:p w14:paraId="7B0C8A88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Knowledge or understanding of governance in organisations;</w:t>
      </w:r>
    </w:p>
    <w:p w14:paraId="2B2B8196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Understanding and experience of strategic planning, financial planning and budgetary processes.</w:t>
      </w:r>
    </w:p>
    <w:p w14:paraId="3F172CD6" w14:textId="77777777" w:rsidR="005B0A54" w:rsidRPr="00561DC1" w:rsidRDefault="005B0A54" w:rsidP="005B0A54">
      <w:pPr>
        <w:rPr>
          <w:rFonts w:asciiTheme="minorHAnsi" w:hAnsiTheme="minorHAnsi" w:cs="AvantGarde-Book"/>
          <w:color w:val="000000" w:themeColor="text1"/>
          <w:sz w:val="22"/>
          <w:szCs w:val="22"/>
        </w:rPr>
      </w:pPr>
    </w:p>
    <w:p w14:paraId="771FE34F" w14:textId="77777777" w:rsidR="005B0A54" w:rsidRPr="00561DC1" w:rsidRDefault="005B0A54" w:rsidP="005B0A54">
      <w:pPr>
        <w:autoSpaceDE w:val="0"/>
        <w:autoSpaceDN w:val="0"/>
        <w:adjustRightInd w:val="0"/>
        <w:rPr>
          <w:rFonts w:asciiTheme="minorHAnsi" w:hAnsiTheme="minorHAnsi" w:cs="AvantGarde-BookOblique"/>
          <w:i/>
          <w:iCs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Oblique"/>
          <w:i/>
          <w:iCs/>
          <w:color w:val="000000" w:themeColor="text1"/>
          <w:sz w:val="22"/>
          <w:szCs w:val="22"/>
        </w:rPr>
        <w:t>Desirable</w:t>
      </w:r>
    </w:p>
    <w:p w14:paraId="1D60382D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Experience of Research Councils, relevant charities or public/government organisations;</w:t>
      </w:r>
    </w:p>
    <w:p w14:paraId="0F57CE2C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Knowledge of philanthropic fundraising;</w:t>
      </w:r>
    </w:p>
    <w:p w14:paraId="368D2DD3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Knowledge of the international environment, particularly in relation to higher education;</w:t>
      </w:r>
    </w:p>
    <w:p w14:paraId="6123C833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Knowledge of the University of Stirling or equivalent research-led universities.</w:t>
      </w:r>
    </w:p>
    <w:p w14:paraId="34C4307C" w14:textId="77777777" w:rsidR="005B0A54" w:rsidRPr="00561DC1" w:rsidRDefault="005B0A54" w:rsidP="005B0A54">
      <w:pPr>
        <w:rPr>
          <w:rFonts w:asciiTheme="minorHAnsi" w:hAnsiTheme="minorHAnsi" w:cs="AvantGarde-Book"/>
          <w:color w:val="000000" w:themeColor="text1"/>
          <w:sz w:val="22"/>
          <w:szCs w:val="22"/>
        </w:rPr>
      </w:pPr>
    </w:p>
    <w:p w14:paraId="6584C45C" w14:textId="77777777" w:rsidR="005B0A54" w:rsidRPr="00561DC1" w:rsidRDefault="005B0A54" w:rsidP="005B0A54">
      <w:pPr>
        <w:autoSpaceDE w:val="0"/>
        <w:autoSpaceDN w:val="0"/>
        <w:adjustRightInd w:val="0"/>
        <w:rPr>
          <w:rFonts w:asciiTheme="minorHAnsi" w:hAnsiTheme="minorHAnsi" w:cs="AvantGarde-Demi"/>
          <w:color w:val="000000" w:themeColor="text1"/>
          <w:sz w:val="22"/>
          <w:szCs w:val="22"/>
          <w:u w:val="single"/>
        </w:rPr>
      </w:pPr>
      <w:r w:rsidRPr="00561DC1">
        <w:rPr>
          <w:rFonts w:asciiTheme="minorHAnsi" w:hAnsiTheme="minorHAnsi" w:cs="AvantGarde-Demi"/>
          <w:color w:val="000000" w:themeColor="text1"/>
          <w:sz w:val="22"/>
          <w:szCs w:val="22"/>
          <w:u w:val="single"/>
        </w:rPr>
        <w:t>Personal attributes and qualities</w:t>
      </w:r>
    </w:p>
    <w:p w14:paraId="316DE9EB" w14:textId="77777777" w:rsidR="005B0A54" w:rsidRPr="00561DC1" w:rsidRDefault="005B0A54" w:rsidP="005B0A54">
      <w:pPr>
        <w:autoSpaceDE w:val="0"/>
        <w:autoSpaceDN w:val="0"/>
        <w:adjustRightInd w:val="0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>The following represent key, essential attributes for the role of Chair:</w:t>
      </w:r>
    </w:p>
    <w:p w14:paraId="60B3B6CF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Integrity;</w:t>
      </w:r>
    </w:p>
    <w:p w14:paraId="69790641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Independence and objectivity;</w:t>
      </w:r>
    </w:p>
    <w:p w14:paraId="62F1CA65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Tact, diplomacy and sensitivity;</w:t>
      </w:r>
    </w:p>
    <w:p w14:paraId="70EE7C46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Sound judgement;</w:t>
      </w:r>
    </w:p>
    <w:p w14:paraId="082285BD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Demonstrable authority;</w:t>
      </w:r>
    </w:p>
    <w:p w14:paraId="2F716453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The ability to command the trust and respect of the Court, Academic Council and the staff and students of the University;</w:t>
      </w:r>
    </w:p>
    <w:p w14:paraId="2C2294A0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The ability to address and resolve conflicting views in a constructive manner;</w:t>
      </w:r>
    </w:p>
    <w:p w14:paraId="45AC9B1C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The ability to constructively challenge;</w:t>
      </w:r>
    </w:p>
    <w:p w14:paraId="09C76AF9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Calm, measured approach;</w:t>
      </w:r>
    </w:p>
    <w:p w14:paraId="425F9837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The skills of networking, influencing and advocacy;</w:t>
      </w:r>
    </w:p>
    <w:p w14:paraId="685F53F0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The ability to establish cordial relationships with a diverse range of people across all of the University’s stakeholder groups;</w:t>
      </w:r>
    </w:p>
    <w:p w14:paraId="2C2415D9" w14:textId="77777777" w:rsidR="005B0A54" w:rsidRPr="00561DC1" w:rsidRDefault="005B0A54" w:rsidP="005B0A54">
      <w:pPr>
        <w:autoSpaceDE w:val="0"/>
        <w:autoSpaceDN w:val="0"/>
        <w:adjustRightInd w:val="0"/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A strong personal commitment to higher education and empathy with the values and aims of the University of Stirling;</w:t>
      </w:r>
    </w:p>
    <w:p w14:paraId="7F6702BD" w14:textId="77777777" w:rsidR="005B0A54" w:rsidRPr="00561DC1" w:rsidRDefault="005B0A54" w:rsidP="005B0A54">
      <w:pPr>
        <w:ind w:left="567" w:hanging="567"/>
        <w:rPr>
          <w:rFonts w:asciiTheme="minorHAnsi" w:hAnsiTheme="minorHAnsi" w:cs="AvantGarde-Book"/>
          <w:color w:val="000000" w:themeColor="text1"/>
          <w:sz w:val="22"/>
          <w:szCs w:val="22"/>
        </w:rPr>
      </w:pP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 xml:space="preserve">• </w:t>
      </w:r>
      <w:r w:rsidRPr="00561DC1">
        <w:rPr>
          <w:rFonts w:asciiTheme="minorHAnsi" w:hAnsiTheme="minorHAnsi" w:cs="AvantGarde-Book"/>
          <w:color w:val="000000" w:themeColor="text1"/>
          <w:sz w:val="22"/>
          <w:szCs w:val="22"/>
        </w:rPr>
        <w:tab/>
        <w:t>Demonstrable commitment to equality and diversity.</w:t>
      </w:r>
    </w:p>
    <w:p w14:paraId="7FF4C9F1" w14:textId="6CF42838" w:rsidR="005B0A54" w:rsidRPr="00561DC1" w:rsidRDefault="005B0A54" w:rsidP="0092505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14A8BCF3" w14:textId="1C370618" w:rsidR="0092505E" w:rsidRPr="00561DC1" w:rsidRDefault="0092505E" w:rsidP="0092505E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561DC1">
        <w:rPr>
          <w:rFonts w:asciiTheme="minorHAnsi" w:hAnsiTheme="minorHAnsi"/>
          <w:b/>
          <w:color w:val="000000" w:themeColor="text1"/>
          <w:sz w:val="28"/>
          <w:szCs w:val="28"/>
        </w:rPr>
        <w:t>Terms of appointment</w:t>
      </w:r>
    </w:p>
    <w:p w14:paraId="28656C74" w14:textId="77777777" w:rsidR="0092505E" w:rsidRPr="00561DC1" w:rsidRDefault="0092505E" w:rsidP="0092505E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5FE5E21" w14:textId="1EA3C02E" w:rsidR="00C97FBF" w:rsidRPr="00561DC1" w:rsidRDefault="00561DC1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In accordance with the Higher Education Governance (Scotland) Act 2016 the Chair of Court is elected by the students, staff and Court members of the University.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>Under the Charter &amp; Statutes, the Chair of Court holds office for four years.  At the expiry of that period, the Chair is eligible for re-</w:t>
      </w:r>
      <w:r>
        <w:rPr>
          <w:rFonts w:asciiTheme="minorHAnsi" w:hAnsiTheme="minorHAnsi"/>
          <w:color w:val="000000" w:themeColor="text1"/>
          <w:sz w:val="22"/>
          <w:szCs w:val="22"/>
        </w:rPr>
        <w:t>appointed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 for a further four years.</w:t>
      </w:r>
    </w:p>
    <w:p w14:paraId="1A6DF67A" w14:textId="77777777" w:rsidR="0092505E" w:rsidRPr="00561DC1" w:rsidRDefault="0092505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7955BAC" w14:textId="77777777" w:rsidR="0092505E" w:rsidRPr="00561DC1" w:rsidRDefault="0092505E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561DC1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 xml:space="preserve">Time commitment </w:t>
      </w:r>
    </w:p>
    <w:p w14:paraId="07EA958D" w14:textId="77777777" w:rsidR="00C236E8" w:rsidRPr="00561DC1" w:rsidRDefault="00C236E8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4D780150" w14:textId="20CEE55D" w:rsidR="00C236E8" w:rsidRDefault="00EC09DF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561DC1">
        <w:rPr>
          <w:rFonts w:asciiTheme="minorHAnsi" w:hAnsiTheme="minorHAnsi"/>
          <w:color w:val="000000" w:themeColor="text1"/>
          <w:sz w:val="22"/>
          <w:szCs w:val="22"/>
        </w:rPr>
        <w:t>The time commitment associated with the role of Chair of Court varies from week to week, but is likely to amount</w:t>
      </w:r>
      <w:r w:rsidR="00657F8A"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to not </w:t>
      </w:r>
      <w:r w:rsidR="00406E45">
        <w:rPr>
          <w:rFonts w:asciiTheme="minorHAnsi" w:hAnsiTheme="minorHAnsi"/>
          <w:color w:val="000000" w:themeColor="text1"/>
          <w:sz w:val="22"/>
          <w:szCs w:val="22"/>
        </w:rPr>
        <w:t>less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 than one day per week </w:t>
      </w:r>
      <w:r w:rsidR="00657F8A" w:rsidRPr="00561DC1">
        <w:rPr>
          <w:rFonts w:asciiTheme="minorHAnsi" w:hAnsiTheme="minorHAnsi"/>
          <w:color w:val="000000" w:themeColor="text1"/>
          <w:sz w:val="22"/>
          <w:szCs w:val="22"/>
        </w:rPr>
        <w:t xml:space="preserve">on average, </w:t>
      </w:r>
      <w:r w:rsidRPr="00561DC1">
        <w:rPr>
          <w:rFonts w:asciiTheme="minorHAnsi" w:hAnsiTheme="minorHAnsi"/>
          <w:color w:val="000000" w:themeColor="text1"/>
          <w:sz w:val="22"/>
          <w:szCs w:val="22"/>
        </w:rPr>
        <w:t>with some additional time at home for reading.</w:t>
      </w:r>
    </w:p>
    <w:p w14:paraId="3C41F514" w14:textId="4963E75E" w:rsidR="00406E45" w:rsidRDefault="00406E45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18AFD898" w14:textId="3F50EDD1" w:rsidR="00406E45" w:rsidRPr="00561DC1" w:rsidRDefault="00406E45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The Chair of Court must be available to provide informal support to the Principal and Vice-Chancellor, the University Secretary and members of Court.  There may be occasions when the Chair is required to attend meetings at short notice.</w:t>
      </w:r>
    </w:p>
    <w:p w14:paraId="0FD731A8" w14:textId="77777777" w:rsidR="00C236E8" w:rsidRPr="00561DC1" w:rsidRDefault="00C236E8">
      <w:pPr>
        <w:rPr>
          <w:color w:val="000000"/>
          <w:sz w:val="22"/>
          <w:szCs w:val="22"/>
        </w:rPr>
      </w:pPr>
    </w:p>
    <w:p w14:paraId="77366F86" w14:textId="77777777" w:rsidR="00EC09DF" w:rsidRDefault="00EC09DF">
      <w:pPr>
        <w:rPr>
          <w:color w:val="000000"/>
          <w:sz w:val="16"/>
          <w:szCs w:val="16"/>
        </w:rPr>
      </w:pPr>
    </w:p>
    <w:p w14:paraId="7E615107" w14:textId="06155660" w:rsidR="00C236E8" w:rsidRPr="00C236E8" w:rsidRDefault="009C1EB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Policy</w:t>
      </w:r>
      <w:r w:rsidR="00AB2532">
        <w:rPr>
          <w:color w:val="000000"/>
          <w:sz w:val="16"/>
          <w:szCs w:val="16"/>
        </w:rPr>
        <w:t xml:space="preserve"> &amp;</w:t>
      </w:r>
      <w:r w:rsidRPr="00C236E8">
        <w:rPr>
          <w:color w:val="000000"/>
          <w:sz w:val="16"/>
          <w:szCs w:val="16"/>
        </w:rPr>
        <w:t xml:space="preserve"> </w:t>
      </w:r>
      <w:r w:rsidR="00C236E8" w:rsidRPr="00C236E8">
        <w:rPr>
          <w:color w:val="000000"/>
          <w:sz w:val="16"/>
          <w:szCs w:val="16"/>
        </w:rPr>
        <w:t>Planning</w:t>
      </w:r>
    </w:p>
    <w:p w14:paraId="0D26F8E7" w14:textId="52C75782" w:rsidR="00AB2532" w:rsidRPr="00C236E8" w:rsidRDefault="00406E45">
      <w:pPr>
        <w:rPr>
          <w:sz w:val="16"/>
          <w:szCs w:val="16"/>
        </w:rPr>
      </w:pPr>
      <w:r>
        <w:rPr>
          <w:color w:val="000000"/>
          <w:sz w:val="16"/>
          <w:szCs w:val="16"/>
        </w:rPr>
        <w:t>Updated July 2019</w:t>
      </w:r>
    </w:p>
    <w:sectPr w:rsidR="00AB2532" w:rsidRPr="00C236E8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826A" w14:textId="77777777" w:rsidR="00DE3C38" w:rsidRDefault="00DE3C38" w:rsidP="00935B9E">
      <w:r>
        <w:separator/>
      </w:r>
    </w:p>
  </w:endnote>
  <w:endnote w:type="continuationSeparator" w:id="0">
    <w:p w14:paraId="680DD619" w14:textId="77777777" w:rsidR="00DE3C38" w:rsidRDefault="00DE3C38" w:rsidP="0093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-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3480" w14:textId="77777777" w:rsidR="0002245F" w:rsidRPr="0002245F" w:rsidRDefault="0002245F">
    <w:pPr>
      <w:pStyle w:val="Footer"/>
      <w:rPr>
        <w:sz w:val="16"/>
        <w:szCs w:val="16"/>
      </w:rPr>
    </w:pPr>
    <w:r w:rsidRPr="0002245F">
      <w:rPr>
        <w:sz w:val="16"/>
        <w:szCs w:val="16"/>
      </w:rPr>
      <w:t>Data Classification: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191F" w14:textId="77777777" w:rsidR="00DE3C38" w:rsidRDefault="00DE3C38" w:rsidP="00935B9E">
      <w:r>
        <w:separator/>
      </w:r>
    </w:p>
  </w:footnote>
  <w:footnote w:type="continuationSeparator" w:id="0">
    <w:p w14:paraId="67EBF9B4" w14:textId="77777777" w:rsidR="00DE3C38" w:rsidRDefault="00DE3C38" w:rsidP="00935B9E">
      <w:r>
        <w:continuationSeparator/>
      </w:r>
    </w:p>
  </w:footnote>
  <w:footnote w:id="1">
    <w:p w14:paraId="0EB9A79C" w14:textId="09DA931E" w:rsidR="005B0A54" w:rsidRDefault="005B0A54" w:rsidP="005B0A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2532">
        <w:rPr>
          <w:sz w:val="16"/>
          <w:szCs w:val="16"/>
        </w:rPr>
        <w:t>Scottish Government ‘</w:t>
      </w:r>
      <w:hyperlink r:id="rId1" w:history="1">
        <w:r w:rsidRPr="00123661">
          <w:rPr>
            <w:rStyle w:val="Hyperlink"/>
            <w:sz w:val="16"/>
            <w:szCs w:val="16"/>
          </w:rPr>
          <w:t>Model Code of Conduct for Members of Devolved Public Bodies</w:t>
        </w:r>
      </w:hyperlink>
      <w:r w:rsidR="00123661">
        <w:rPr>
          <w:sz w:val="16"/>
          <w:szCs w:val="16"/>
        </w:rPr>
        <w:t>, 2014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769"/>
    <w:multiLevelType w:val="hybridMultilevel"/>
    <w:tmpl w:val="82440432"/>
    <w:lvl w:ilvl="0" w:tplc="EF6CA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168A"/>
    <w:multiLevelType w:val="hybridMultilevel"/>
    <w:tmpl w:val="E3C23E7A"/>
    <w:lvl w:ilvl="0" w:tplc="EF6CA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020CB"/>
    <w:multiLevelType w:val="multilevel"/>
    <w:tmpl w:val="A5FEAE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E6"/>
    <w:rsid w:val="00006E65"/>
    <w:rsid w:val="0002245F"/>
    <w:rsid w:val="00077568"/>
    <w:rsid w:val="000948D4"/>
    <w:rsid w:val="00123661"/>
    <w:rsid w:val="00147D09"/>
    <w:rsid w:val="00152645"/>
    <w:rsid w:val="001B30A6"/>
    <w:rsid w:val="001E03B5"/>
    <w:rsid w:val="002810C0"/>
    <w:rsid w:val="002A7828"/>
    <w:rsid w:val="002D3D6F"/>
    <w:rsid w:val="00312F07"/>
    <w:rsid w:val="00333A21"/>
    <w:rsid w:val="003463DE"/>
    <w:rsid w:val="003822B4"/>
    <w:rsid w:val="003B4C21"/>
    <w:rsid w:val="00406E45"/>
    <w:rsid w:val="004D1BF2"/>
    <w:rsid w:val="004D7450"/>
    <w:rsid w:val="004F5605"/>
    <w:rsid w:val="00561DC1"/>
    <w:rsid w:val="00566716"/>
    <w:rsid w:val="005923DC"/>
    <w:rsid w:val="005B0A54"/>
    <w:rsid w:val="005F5EDD"/>
    <w:rsid w:val="006565A4"/>
    <w:rsid w:val="00657F8A"/>
    <w:rsid w:val="006A40D0"/>
    <w:rsid w:val="006C1270"/>
    <w:rsid w:val="006F524C"/>
    <w:rsid w:val="0072274D"/>
    <w:rsid w:val="00757742"/>
    <w:rsid w:val="007B414E"/>
    <w:rsid w:val="007D5259"/>
    <w:rsid w:val="0085161A"/>
    <w:rsid w:val="008973BF"/>
    <w:rsid w:val="00897851"/>
    <w:rsid w:val="0092505E"/>
    <w:rsid w:val="009274C3"/>
    <w:rsid w:val="00935B9E"/>
    <w:rsid w:val="009C1EBC"/>
    <w:rsid w:val="009D246A"/>
    <w:rsid w:val="00A17A90"/>
    <w:rsid w:val="00A60296"/>
    <w:rsid w:val="00AB2532"/>
    <w:rsid w:val="00AC79F4"/>
    <w:rsid w:val="00B07435"/>
    <w:rsid w:val="00B97DA6"/>
    <w:rsid w:val="00BB08D7"/>
    <w:rsid w:val="00BC253B"/>
    <w:rsid w:val="00C236E8"/>
    <w:rsid w:val="00C31A2F"/>
    <w:rsid w:val="00C47F89"/>
    <w:rsid w:val="00C97FBF"/>
    <w:rsid w:val="00D0322C"/>
    <w:rsid w:val="00D461D0"/>
    <w:rsid w:val="00D62EE6"/>
    <w:rsid w:val="00DE3C38"/>
    <w:rsid w:val="00E56E30"/>
    <w:rsid w:val="00EA3F18"/>
    <w:rsid w:val="00EC09DF"/>
    <w:rsid w:val="00EE0849"/>
    <w:rsid w:val="00F4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FB61E"/>
  <w15:chartTrackingRefBased/>
  <w15:docId w15:val="{3C7BBF39-EEFB-4950-AE9B-484EDD50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EE6"/>
    <w:pPr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97FBF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312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B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5B9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5B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5B9E"/>
    <w:rPr>
      <w:rFonts w:ascii="Arial" w:hAnsi="Arial" w:cs="Arial"/>
    </w:rPr>
  </w:style>
  <w:style w:type="character" w:styleId="CommentReference">
    <w:name w:val="annotation reference"/>
    <w:uiPriority w:val="99"/>
    <w:semiHidden/>
    <w:unhideWhenUsed/>
    <w:rsid w:val="003B4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C21"/>
  </w:style>
  <w:style w:type="character" w:customStyle="1" w:styleId="CommentTextChar">
    <w:name w:val="Comment Text Char"/>
    <w:link w:val="CommentText"/>
    <w:uiPriority w:val="99"/>
    <w:semiHidden/>
    <w:rsid w:val="003B4C21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C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C21"/>
    <w:rPr>
      <w:rFonts w:ascii="Arial" w:hAnsi="Arial" w:cs="Arial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2532"/>
  </w:style>
  <w:style w:type="character" w:customStyle="1" w:styleId="FootnoteTextChar">
    <w:name w:val="Footnote Text Char"/>
    <w:link w:val="FootnoteText"/>
    <w:uiPriority w:val="99"/>
    <w:semiHidden/>
    <w:rsid w:val="00AB2532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AB2532"/>
    <w:rPr>
      <w:vertAlign w:val="superscript"/>
    </w:rPr>
  </w:style>
  <w:style w:type="character" w:styleId="Hyperlink">
    <w:name w:val="Hyperlink"/>
    <w:uiPriority w:val="99"/>
    <w:unhideWhenUsed/>
    <w:rsid w:val="00AB253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B25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cot/publications/model-code-conduct-members-devolved-public-bo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3" ma:contentTypeDescription="Create a new document." ma:contentTypeScope="" ma:versionID="cd9f0b9030d84adf506361c9f35e0872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1364c33cba01cfcae91e7fbe80f37c4b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3600-13FB-4D98-9BC2-79F3038A1E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2B1CA-59EC-44CD-A93E-CBD999D47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30A3F-40EB-4694-AE76-B8FE8366B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D14EF-C191-4F40-9C64-BC713F0C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1104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Stirling</Company>
  <LinksUpToDate>false</LinksUpToDate>
  <CharactersWithSpaces>7438</CharactersWithSpaces>
  <SharedDoc>false</SharedDoc>
  <HLinks>
    <vt:vector size="6" baseType="variant"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https://www.gov.scot/publications/model-code-conduct-members-devolved-public-bodies/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jm91</dc:creator>
  <cp:keywords/>
  <cp:lastModifiedBy>Fiona Wheater</cp:lastModifiedBy>
  <cp:revision>5</cp:revision>
  <cp:lastPrinted>2015-06-17T10:43:00Z</cp:lastPrinted>
  <dcterms:created xsi:type="dcterms:W3CDTF">2019-07-16T09:18:00Z</dcterms:created>
  <dcterms:modified xsi:type="dcterms:W3CDTF">2022-02-23T13:48:00Z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SIP_Label_946b3323-a1ee-4a37-8c29-8d71baf7a927_Enabled">
    <vt:lpwstr>true</vt:lpwstr>
  </property>
  <property fmtid="{D5CDD505-2E9C-101B-9397-08002B2CF9AE}" pid="4" name="MSIP_Label_946b3323-a1ee-4a37-8c29-8d71baf7a927_SetDate">
    <vt:lpwstr>2022-02-23T13:47:52Z</vt:lpwstr>
  </property>
  <property fmtid="{D5CDD505-2E9C-101B-9397-08002B2CF9AE}" pid="5" name="MSIP_Label_946b3323-a1ee-4a37-8c29-8d71baf7a927_Method">
    <vt:lpwstr>Privileged</vt:lpwstr>
  </property>
  <property fmtid="{D5CDD505-2E9C-101B-9397-08002B2CF9AE}" pid="6" name="MSIP_Label_946b3323-a1ee-4a37-8c29-8d71baf7a927_Name">
    <vt:lpwstr>Public</vt:lpwstr>
  </property>
  <property fmtid="{D5CDD505-2E9C-101B-9397-08002B2CF9AE}" pid="7" name="MSIP_Label_946b3323-a1ee-4a37-8c29-8d71baf7a927_SiteId">
    <vt:lpwstr>4e8d09f7-cc79-4ccb-9149-a4238dd17422</vt:lpwstr>
  </property>
  <property fmtid="{D5CDD505-2E9C-101B-9397-08002B2CF9AE}" pid="8" name="MSIP_Label_946b3323-a1ee-4a37-8c29-8d71baf7a927_ActionId">
    <vt:lpwstr>90a885e4-822e-4201-8e8f-f1679cea56de</vt:lpwstr>
  </property>
  <property fmtid="{D5CDD505-2E9C-101B-9397-08002B2CF9AE}" pid="9" name="MSIP_Label_946b3323-a1ee-4a37-8c29-8d71baf7a927_ContentBits">
    <vt:lpwstr>0</vt:lpwstr>
  </property>
</Properties>
</file>