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EA9DF" w14:textId="77777777" w:rsidR="008E288A" w:rsidRDefault="008E288A" w:rsidP="009D7DBD">
      <w:pPr>
        <w:spacing w:after="0" w:line="276" w:lineRule="auto"/>
        <w:rPr>
          <w:rFonts w:ascii="Calibri" w:hAnsi="Calibri" w:cs="Calibri"/>
        </w:rPr>
      </w:pPr>
    </w:p>
    <w:p w14:paraId="1125FE4C" w14:textId="3821ED37" w:rsidR="000938D8" w:rsidRDefault="009D7DBD" w:rsidP="009136DF">
      <w:pPr>
        <w:tabs>
          <w:tab w:val="left" w:pos="8160"/>
        </w:tabs>
        <w:rPr>
          <w:rFonts w:ascii="Calibri" w:hAnsi="Calibri" w:cs="Calibri"/>
          <w:b/>
          <w:bCs/>
          <w:sz w:val="26"/>
          <w:szCs w:val="26"/>
        </w:rPr>
      </w:pPr>
      <w:r w:rsidRPr="00664D32">
        <w:rPr>
          <w:noProof/>
          <w:color w:val="2B579A"/>
          <w:shd w:val="clear" w:color="auto" w:fill="E6E6E6"/>
        </w:rPr>
        <w:drawing>
          <wp:anchor distT="0" distB="0" distL="114300" distR="114300" simplePos="0" relativeHeight="251658240" behindDoc="0" locked="0" layoutInCell="1" allowOverlap="1" wp14:anchorId="7AEF03CD" wp14:editId="6124814D">
            <wp:simplePos x="0" y="0"/>
            <wp:positionH relativeFrom="margin">
              <wp:posOffset>7466275</wp:posOffset>
            </wp:positionH>
            <wp:positionV relativeFrom="margin">
              <wp:posOffset>-437957</wp:posOffset>
            </wp:positionV>
            <wp:extent cx="2278626" cy="137160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626"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E4A16" w14:textId="2F209CA4" w:rsidR="009D7DBD" w:rsidRDefault="007E55DA" w:rsidP="009D7DBD">
      <w:pPr>
        <w:spacing w:after="0" w:line="276" w:lineRule="auto"/>
        <w:rPr>
          <w:rFonts w:ascii="Calibri" w:hAnsi="Calibri" w:cs="Calibri"/>
          <w:b/>
          <w:bCs/>
          <w:sz w:val="26"/>
          <w:szCs w:val="26"/>
        </w:rPr>
      </w:pPr>
      <w:r w:rsidRPr="009D7DBD">
        <w:rPr>
          <w:rFonts w:ascii="Calibri" w:hAnsi="Calibri" w:cs="Calibri"/>
          <w:b/>
          <w:bCs/>
          <w:sz w:val="26"/>
          <w:szCs w:val="26"/>
        </w:rPr>
        <w:t>Q</w:t>
      </w:r>
      <w:r w:rsidR="009D7DBD" w:rsidRPr="009D7DBD">
        <w:rPr>
          <w:rFonts w:ascii="Calibri" w:hAnsi="Calibri" w:cs="Calibri"/>
          <w:b/>
          <w:bCs/>
          <w:sz w:val="26"/>
          <w:szCs w:val="26"/>
        </w:rPr>
        <w:t xml:space="preserve">uality </w:t>
      </w:r>
      <w:r w:rsidRPr="009D7DBD">
        <w:rPr>
          <w:rFonts w:ascii="Calibri" w:hAnsi="Calibri" w:cs="Calibri"/>
          <w:b/>
          <w:bCs/>
          <w:sz w:val="26"/>
          <w:szCs w:val="26"/>
        </w:rPr>
        <w:t>E</w:t>
      </w:r>
      <w:r w:rsidR="009D7DBD" w:rsidRPr="009D7DBD">
        <w:rPr>
          <w:rFonts w:ascii="Calibri" w:hAnsi="Calibri" w:cs="Calibri"/>
          <w:b/>
          <w:bCs/>
          <w:sz w:val="26"/>
          <w:szCs w:val="26"/>
        </w:rPr>
        <w:t xml:space="preserve">nhancement and </w:t>
      </w:r>
      <w:r w:rsidRPr="009D7DBD">
        <w:rPr>
          <w:rFonts w:ascii="Calibri" w:hAnsi="Calibri" w:cs="Calibri"/>
          <w:b/>
          <w:bCs/>
          <w:sz w:val="26"/>
          <w:szCs w:val="26"/>
        </w:rPr>
        <w:t>S</w:t>
      </w:r>
      <w:r w:rsidR="009D7DBD" w:rsidRPr="009D7DBD">
        <w:rPr>
          <w:rFonts w:ascii="Calibri" w:hAnsi="Calibri" w:cs="Calibri"/>
          <w:b/>
          <w:bCs/>
          <w:sz w:val="26"/>
          <w:szCs w:val="26"/>
        </w:rPr>
        <w:t xml:space="preserve">tandards </w:t>
      </w:r>
      <w:r w:rsidRPr="009D7DBD">
        <w:rPr>
          <w:rFonts w:ascii="Calibri" w:hAnsi="Calibri" w:cs="Calibri"/>
          <w:b/>
          <w:bCs/>
          <w:sz w:val="26"/>
          <w:szCs w:val="26"/>
        </w:rPr>
        <w:t>R</w:t>
      </w:r>
      <w:r w:rsidR="009D7DBD" w:rsidRPr="009D7DBD">
        <w:rPr>
          <w:rFonts w:ascii="Calibri" w:hAnsi="Calibri" w:cs="Calibri"/>
          <w:b/>
          <w:bCs/>
          <w:sz w:val="26"/>
          <w:szCs w:val="26"/>
        </w:rPr>
        <w:t>eview</w:t>
      </w:r>
      <w:r w:rsidRPr="009D7DBD">
        <w:rPr>
          <w:rFonts w:ascii="Calibri" w:hAnsi="Calibri" w:cs="Calibri"/>
          <w:b/>
          <w:bCs/>
          <w:sz w:val="26"/>
          <w:szCs w:val="26"/>
        </w:rPr>
        <w:t xml:space="preserve"> </w:t>
      </w:r>
    </w:p>
    <w:p w14:paraId="05711523" w14:textId="77777777" w:rsidR="009D7DBD" w:rsidRDefault="009D7DBD" w:rsidP="009D7DBD">
      <w:pPr>
        <w:spacing w:after="0" w:line="276" w:lineRule="auto"/>
        <w:rPr>
          <w:rFonts w:ascii="Calibri" w:hAnsi="Calibri" w:cs="Calibri"/>
          <w:b/>
          <w:bCs/>
          <w:sz w:val="26"/>
          <w:szCs w:val="26"/>
        </w:rPr>
      </w:pPr>
    </w:p>
    <w:p w14:paraId="2FA12F03" w14:textId="6DA9DD5B" w:rsidR="00F942D3" w:rsidRPr="009D7DBD" w:rsidRDefault="2E1DC99B" w:rsidP="009D7DBD">
      <w:pPr>
        <w:spacing w:after="0" w:line="276" w:lineRule="auto"/>
        <w:rPr>
          <w:rFonts w:ascii="Calibri" w:hAnsi="Calibri" w:cs="Calibri"/>
          <w:b/>
          <w:bCs/>
          <w:sz w:val="26"/>
          <w:szCs w:val="26"/>
        </w:rPr>
      </w:pPr>
      <w:r w:rsidRPr="3FA5395A">
        <w:rPr>
          <w:rFonts w:ascii="Calibri" w:hAnsi="Calibri" w:cs="Calibri"/>
          <w:b/>
          <w:bCs/>
          <w:sz w:val="26"/>
          <w:szCs w:val="26"/>
        </w:rPr>
        <w:t xml:space="preserve">Follow-up </w:t>
      </w:r>
      <w:r w:rsidR="007E55DA" w:rsidRPr="009D7DBD">
        <w:rPr>
          <w:rFonts w:ascii="Calibri" w:hAnsi="Calibri" w:cs="Calibri"/>
          <w:b/>
          <w:bCs/>
          <w:sz w:val="26"/>
          <w:szCs w:val="26"/>
        </w:rPr>
        <w:t>Action Plan</w:t>
      </w:r>
    </w:p>
    <w:p w14:paraId="00613EF4" w14:textId="77777777" w:rsidR="009D7DBD" w:rsidRDefault="009D7DBD" w:rsidP="009D7DBD">
      <w:pPr>
        <w:shd w:val="clear" w:color="auto" w:fill="FFFFFF"/>
        <w:spacing w:after="0" w:line="276" w:lineRule="auto"/>
        <w:rPr>
          <w:rFonts w:ascii="Helvetica" w:eastAsia="Times New Roman" w:hAnsi="Helvetica" w:cs="Times New Roman"/>
          <w:color w:val="333333"/>
          <w:kern w:val="0"/>
          <w:sz w:val="24"/>
          <w:szCs w:val="24"/>
          <w:lang w:eastAsia="en-GB"/>
          <w14:ligatures w14:val="none"/>
        </w:rPr>
      </w:pPr>
    </w:p>
    <w:p w14:paraId="6D68BD9F" w14:textId="380CACCE" w:rsidR="009D7DBD" w:rsidRDefault="009D7DBD" w:rsidP="009D7DBD">
      <w:pPr>
        <w:shd w:val="clear" w:color="auto" w:fill="FFFFFF"/>
        <w:spacing w:after="0" w:line="276" w:lineRule="auto"/>
        <w:rPr>
          <w:rFonts w:ascii="Calibri" w:eastAsia="Times New Roman" w:hAnsi="Calibri" w:cs="Calibri"/>
          <w:color w:val="333333"/>
          <w:kern w:val="0"/>
          <w:lang w:eastAsia="en-GB"/>
          <w14:ligatures w14:val="none"/>
        </w:rPr>
      </w:pPr>
      <w:r w:rsidRPr="009D7DBD">
        <w:rPr>
          <w:rFonts w:ascii="Calibri" w:eastAsia="Times New Roman" w:hAnsi="Calibri" w:cs="Calibri"/>
          <w:color w:val="333333"/>
          <w:kern w:val="0"/>
          <w:lang w:eastAsia="en-GB"/>
          <w14:ligatures w14:val="none"/>
        </w:rPr>
        <w:t xml:space="preserve">This action plan </w:t>
      </w:r>
      <w:r>
        <w:rPr>
          <w:rFonts w:ascii="Calibri" w:eastAsia="Times New Roman" w:hAnsi="Calibri" w:cs="Calibri"/>
          <w:color w:val="333333"/>
          <w:kern w:val="0"/>
          <w:lang w:eastAsia="en-GB"/>
          <w14:ligatures w14:val="none"/>
        </w:rPr>
        <w:t>summarises</w:t>
      </w:r>
      <w:r w:rsidRPr="009D7DBD">
        <w:rPr>
          <w:rFonts w:ascii="Calibri" w:eastAsia="Times New Roman" w:hAnsi="Calibri" w:cs="Calibri"/>
          <w:color w:val="333333"/>
          <w:kern w:val="0"/>
          <w:lang w:eastAsia="en-GB"/>
          <w14:ligatures w14:val="none"/>
        </w:rPr>
        <w:t xml:space="preserve"> the University’s response to the to the Quality Enhancement and Standards Review (QESR) review undertaken on 2</w:t>
      </w:r>
      <w:r>
        <w:rPr>
          <w:rFonts w:ascii="Calibri" w:eastAsia="Times New Roman" w:hAnsi="Calibri" w:cs="Calibri"/>
          <w:color w:val="333333"/>
          <w:kern w:val="0"/>
          <w:lang w:eastAsia="en-GB"/>
          <w14:ligatures w14:val="none"/>
        </w:rPr>
        <w:t xml:space="preserve">2 November </w:t>
      </w:r>
      <w:r w:rsidRPr="009D7DBD">
        <w:rPr>
          <w:rFonts w:ascii="Calibri" w:eastAsia="Times New Roman" w:hAnsi="Calibri" w:cs="Calibri"/>
          <w:color w:val="333333"/>
          <w:kern w:val="0"/>
          <w:lang w:eastAsia="en-GB"/>
          <w14:ligatures w14:val="none"/>
        </w:rPr>
        <w:t xml:space="preserve">2023 and the </w:t>
      </w:r>
      <w:r>
        <w:rPr>
          <w:rFonts w:ascii="Calibri" w:eastAsia="Times New Roman" w:hAnsi="Calibri" w:cs="Calibri"/>
          <w:color w:val="333333"/>
          <w:kern w:val="0"/>
          <w:lang w:eastAsia="en-GB"/>
          <w14:ligatures w14:val="none"/>
        </w:rPr>
        <w:t xml:space="preserve">review </w:t>
      </w:r>
      <w:r w:rsidRPr="009D7DBD">
        <w:rPr>
          <w:rFonts w:ascii="Calibri" w:eastAsia="Times New Roman" w:hAnsi="Calibri" w:cs="Calibri"/>
          <w:color w:val="333333"/>
          <w:kern w:val="0"/>
          <w:lang w:eastAsia="en-GB"/>
          <w14:ligatures w14:val="none"/>
        </w:rPr>
        <w:t xml:space="preserve">report published on </w:t>
      </w:r>
      <w:r>
        <w:rPr>
          <w:rFonts w:ascii="Calibri" w:eastAsia="Times New Roman" w:hAnsi="Calibri" w:cs="Calibri"/>
          <w:color w:val="333333"/>
          <w:kern w:val="0"/>
          <w:lang w:eastAsia="en-GB"/>
          <w14:ligatures w14:val="none"/>
        </w:rPr>
        <w:t xml:space="preserve">31 January </w:t>
      </w:r>
      <w:r w:rsidRPr="009D7DBD">
        <w:rPr>
          <w:rFonts w:ascii="Calibri" w:eastAsia="Times New Roman" w:hAnsi="Calibri" w:cs="Calibri"/>
          <w:color w:val="333333"/>
          <w:kern w:val="0"/>
          <w:lang w:eastAsia="en-GB"/>
          <w14:ligatures w14:val="none"/>
        </w:rPr>
        <w:t>202</w:t>
      </w:r>
      <w:r>
        <w:rPr>
          <w:rFonts w:ascii="Calibri" w:eastAsia="Times New Roman" w:hAnsi="Calibri" w:cs="Calibri"/>
          <w:color w:val="333333"/>
          <w:kern w:val="0"/>
          <w:lang w:eastAsia="en-GB"/>
          <w14:ligatures w14:val="none"/>
        </w:rPr>
        <w:t>4</w:t>
      </w:r>
      <w:r w:rsidRPr="009D7DBD">
        <w:rPr>
          <w:rFonts w:ascii="Calibri" w:eastAsia="Times New Roman" w:hAnsi="Calibri" w:cs="Calibri"/>
          <w:color w:val="333333"/>
          <w:kern w:val="0"/>
          <w:lang w:eastAsia="en-GB"/>
          <w14:ligatures w14:val="none"/>
        </w:rPr>
        <w:t>.</w:t>
      </w:r>
    </w:p>
    <w:p w14:paraId="7919F372" w14:textId="77777777" w:rsidR="000938D8" w:rsidRDefault="000938D8" w:rsidP="009D7DBD">
      <w:pPr>
        <w:shd w:val="clear" w:color="auto" w:fill="FFFFFF"/>
        <w:spacing w:after="0" w:line="276" w:lineRule="auto"/>
        <w:rPr>
          <w:rFonts w:ascii="Calibri" w:eastAsia="Times New Roman" w:hAnsi="Calibri" w:cs="Calibri"/>
          <w:color w:val="333333"/>
          <w:kern w:val="0"/>
          <w:lang w:eastAsia="en-GB"/>
          <w14:ligatures w14:val="none"/>
        </w:rPr>
      </w:pPr>
    </w:p>
    <w:p w14:paraId="5A562510" w14:textId="77777777" w:rsidR="000938D8" w:rsidRDefault="000938D8" w:rsidP="009D7DBD">
      <w:pPr>
        <w:shd w:val="clear" w:color="auto" w:fill="FFFFFF"/>
        <w:spacing w:after="0" w:line="276" w:lineRule="auto"/>
        <w:rPr>
          <w:rFonts w:ascii="Calibri" w:eastAsia="Times New Roman" w:hAnsi="Calibri" w:cs="Calibri"/>
          <w:color w:val="333333"/>
          <w:kern w:val="0"/>
          <w:lang w:eastAsia="en-GB"/>
          <w14:ligatures w14:val="none"/>
        </w:rPr>
      </w:pPr>
      <w:r w:rsidRPr="000938D8">
        <w:rPr>
          <w:rFonts w:ascii="Calibri" w:eastAsia="Times New Roman" w:hAnsi="Calibri" w:cs="Calibri"/>
          <w:color w:val="333333"/>
          <w:kern w:val="0"/>
          <w:lang w:eastAsia="en-GB"/>
          <w14:ligatures w14:val="none"/>
        </w:rPr>
        <w:t>The report</w:t>
      </w:r>
      <w:r>
        <w:rPr>
          <w:rFonts w:ascii="Calibri" w:eastAsia="Times New Roman" w:hAnsi="Calibri" w:cs="Calibri"/>
          <w:color w:val="333333"/>
          <w:kern w:val="0"/>
          <w:lang w:eastAsia="en-GB"/>
          <w14:ligatures w14:val="none"/>
        </w:rPr>
        <w:t xml:space="preserve"> </w:t>
      </w:r>
      <w:r w:rsidRPr="000938D8">
        <w:rPr>
          <w:rFonts w:ascii="Calibri" w:eastAsia="Times New Roman" w:hAnsi="Calibri" w:cs="Calibri"/>
          <w:color w:val="333333"/>
          <w:kern w:val="0"/>
          <w:lang w:eastAsia="en-GB"/>
          <w14:ligatures w14:val="none"/>
        </w:rPr>
        <w:t>states</w:t>
      </w:r>
      <w:r>
        <w:rPr>
          <w:rFonts w:ascii="Calibri" w:eastAsia="Times New Roman" w:hAnsi="Calibri" w:cs="Calibri"/>
          <w:color w:val="333333"/>
          <w:kern w:val="0"/>
          <w:lang w:eastAsia="en-GB"/>
          <w14:ligatures w14:val="none"/>
        </w:rPr>
        <w:t xml:space="preserve"> that,</w:t>
      </w:r>
      <w:r w:rsidRPr="000938D8">
        <w:rPr>
          <w:rFonts w:ascii="Calibri" w:eastAsia="Times New Roman" w:hAnsi="Calibri" w:cs="Calibri"/>
          <w:color w:val="333333"/>
          <w:kern w:val="0"/>
          <w:lang w:eastAsia="en-GB"/>
          <w14:ligatures w14:val="none"/>
        </w:rPr>
        <w:t xml:space="preserve"> </w:t>
      </w:r>
      <w:r w:rsidRPr="000938D8">
        <w:rPr>
          <w:rFonts w:ascii="Calibri" w:eastAsia="Times New Roman" w:hAnsi="Calibri" w:cs="Calibri"/>
          <w:i/>
          <w:iCs/>
          <w:color w:val="333333"/>
          <w:kern w:val="0"/>
          <w:lang w:eastAsia="en-GB"/>
          <w14:ligatures w14:val="none"/>
        </w:rPr>
        <w:t>“…the QESR team is confident that the University of Stirling is making effective progress in continuing to monitor, review and enhance its higher education provision to enable effective arrangements to be in place for managing academic standards and the quality of the student learning experience”</w:t>
      </w:r>
      <w:r>
        <w:rPr>
          <w:rFonts w:ascii="Calibri" w:eastAsia="Times New Roman" w:hAnsi="Calibri" w:cs="Calibri"/>
          <w:color w:val="333333"/>
          <w:kern w:val="0"/>
          <w:lang w:eastAsia="en-GB"/>
          <w14:ligatures w14:val="none"/>
        </w:rPr>
        <w:t>.</w:t>
      </w:r>
    </w:p>
    <w:p w14:paraId="54542FF8" w14:textId="77777777" w:rsidR="000938D8" w:rsidRDefault="000938D8" w:rsidP="009D7DBD">
      <w:pPr>
        <w:shd w:val="clear" w:color="auto" w:fill="FFFFFF"/>
        <w:spacing w:after="0" w:line="276" w:lineRule="auto"/>
        <w:rPr>
          <w:rFonts w:ascii="Calibri" w:eastAsia="Times New Roman" w:hAnsi="Calibri" w:cs="Calibri"/>
          <w:color w:val="333333"/>
          <w:kern w:val="0"/>
          <w:lang w:eastAsia="en-GB"/>
          <w14:ligatures w14:val="none"/>
        </w:rPr>
      </w:pPr>
    </w:p>
    <w:p w14:paraId="2DBC3E01" w14:textId="77777777" w:rsidR="000938D8" w:rsidRDefault="000938D8" w:rsidP="009D7DBD">
      <w:pPr>
        <w:shd w:val="clear" w:color="auto" w:fill="FFFFFF"/>
        <w:spacing w:after="0" w:line="276" w:lineRule="auto"/>
        <w:rPr>
          <w:rFonts w:ascii="Calibri" w:eastAsia="Times New Roman" w:hAnsi="Calibri" w:cs="Calibri"/>
          <w:color w:val="333333"/>
          <w:kern w:val="0"/>
          <w:lang w:eastAsia="en-GB"/>
          <w14:ligatures w14:val="none"/>
        </w:rPr>
      </w:pPr>
      <w:r w:rsidRPr="000938D8">
        <w:rPr>
          <w:rFonts w:ascii="Calibri" w:eastAsia="Times New Roman" w:hAnsi="Calibri" w:cs="Calibri"/>
          <w:color w:val="333333"/>
          <w:kern w:val="0"/>
          <w:lang w:eastAsia="en-GB"/>
          <w14:ligatures w14:val="none"/>
        </w:rPr>
        <w:t>The r</w:t>
      </w:r>
      <w:r>
        <w:rPr>
          <w:rFonts w:ascii="Calibri" w:eastAsia="Times New Roman" w:hAnsi="Calibri" w:cs="Calibri"/>
          <w:color w:val="333333"/>
          <w:kern w:val="0"/>
          <w:lang w:eastAsia="en-GB"/>
          <w14:ligatures w14:val="none"/>
        </w:rPr>
        <w:t>eview identified</w:t>
      </w:r>
      <w:r w:rsidRPr="000938D8">
        <w:rPr>
          <w:rFonts w:ascii="Calibri" w:eastAsia="Times New Roman" w:hAnsi="Calibri" w:cs="Calibri"/>
          <w:color w:val="333333"/>
          <w:kern w:val="0"/>
          <w:lang w:eastAsia="en-GB"/>
          <w14:ligatures w14:val="none"/>
        </w:rPr>
        <w:t xml:space="preserve"> three </w:t>
      </w:r>
      <w:r>
        <w:rPr>
          <w:rFonts w:ascii="Calibri" w:eastAsia="Times New Roman" w:hAnsi="Calibri" w:cs="Calibri"/>
          <w:color w:val="333333"/>
          <w:kern w:val="0"/>
          <w:lang w:eastAsia="en-GB"/>
          <w14:ligatures w14:val="none"/>
        </w:rPr>
        <w:t>features</w:t>
      </w:r>
      <w:r w:rsidRPr="000938D8">
        <w:rPr>
          <w:rFonts w:ascii="Calibri" w:eastAsia="Times New Roman" w:hAnsi="Calibri" w:cs="Calibri"/>
          <w:color w:val="333333"/>
          <w:kern w:val="0"/>
          <w:lang w:eastAsia="en-GB"/>
          <w14:ligatures w14:val="none"/>
        </w:rPr>
        <w:t xml:space="preserve"> of good practice:</w:t>
      </w:r>
    </w:p>
    <w:p w14:paraId="6628E92B" w14:textId="77777777" w:rsidR="000938D8" w:rsidRDefault="000938D8" w:rsidP="000938D8">
      <w:pPr>
        <w:pStyle w:val="ListParagraph"/>
        <w:numPr>
          <w:ilvl w:val="0"/>
          <w:numId w:val="2"/>
        </w:numPr>
        <w:shd w:val="clear" w:color="auto" w:fill="FFFFFF"/>
        <w:spacing w:after="0" w:line="276" w:lineRule="auto"/>
        <w:rPr>
          <w:rFonts w:ascii="Calibri" w:eastAsia="Times New Roman" w:hAnsi="Calibri" w:cs="Calibri"/>
          <w:color w:val="333333"/>
          <w:kern w:val="0"/>
          <w:lang w:eastAsia="en-GB"/>
          <w14:ligatures w14:val="none"/>
        </w:rPr>
      </w:pPr>
      <w:r w:rsidRPr="00495ECF">
        <w:rPr>
          <w:rFonts w:ascii="Calibri" w:eastAsia="Times New Roman" w:hAnsi="Calibri" w:cs="Calibri"/>
          <w:b/>
          <w:bCs/>
          <w:color w:val="333333"/>
          <w:kern w:val="0"/>
          <w:lang w:eastAsia="en-GB"/>
          <w14:ligatures w14:val="none"/>
        </w:rPr>
        <w:t>Supporting belonging</w:t>
      </w:r>
      <w:r w:rsidRPr="000938D8">
        <w:rPr>
          <w:rFonts w:ascii="Calibri" w:eastAsia="Times New Roman" w:hAnsi="Calibri" w:cs="Calibri"/>
          <w:color w:val="333333"/>
          <w:kern w:val="0"/>
          <w:lang w:eastAsia="en-GB"/>
          <w14:ligatures w14:val="none"/>
        </w:rPr>
        <w:t>: The University, in partnership with the Students' Union, has developed a 'Be Connected' scheme which provides a range of learning, wellbeing and arts and culture events, activities and resources available through the university app, which supports community and belonging on and off campus for students and staff.</w:t>
      </w:r>
    </w:p>
    <w:p w14:paraId="581122E1" w14:textId="77777777" w:rsidR="000938D8" w:rsidRDefault="000938D8" w:rsidP="000938D8">
      <w:pPr>
        <w:pStyle w:val="ListParagraph"/>
        <w:numPr>
          <w:ilvl w:val="0"/>
          <w:numId w:val="2"/>
        </w:numPr>
        <w:shd w:val="clear" w:color="auto" w:fill="FFFFFF"/>
        <w:spacing w:after="0" w:line="276" w:lineRule="auto"/>
        <w:rPr>
          <w:rFonts w:ascii="Calibri" w:eastAsia="Times New Roman" w:hAnsi="Calibri" w:cs="Calibri"/>
          <w:color w:val="333333"/>
          <w:kern w:val="0"/>
          <w:lang w:eastAsia="en-GB"/>
          <w14:ligatures w14:val="none"/>
        </w:rPr>
      </w:pPr>
      <w:r w:rsidRPr="00495ECF">
        <w:rPr>
          <w:rFonts w:ascii="Calibri" w:eastAsia="Times New Roman" w:hAnsi="Calibri" w:cs="Calibri"/>
          <w:b/>
          <w:bCs/>
          <w:color w:val="333333"/>
          <w:kern w:val="0"/>
          <w:lang w:eastAsia="en-GB"/>
          <w14:ligatures w14:val="none"/>
        </w:rPr>
        <w:t>Development of the use of data</w:t>
      </w:r>
      <w:r w:rsidRPr="000938D8">
        <w:rPr>
          <w:rFonts w:ascii="Calibri" w:eastAsia="Times New Roman" w:hAnsi="Calibri" w:cs="Calibri"/>
          <w:color w:val="333333"/>
          <w:kern w:val="0"/>
          <w:lang w:eastAsia="en-GB"/>
          <w14:ligatures w14:val="none"/>
        </w:rPr>
        <w:t>: There is ongoing collaborative activity to ensure that data supports curriculum management and reporting, and to enhance the utility of, and access to, data and information.</w:t>
      </w:r>
    </w:p>
    <w:p w14:paraId="5B89D4E0" w14:textId="2E053950" w:rsidR="000938D8" w:rsidRPr="000938D8" w:rsidRDefault="000938D8" w:rsidP="000938D8">
      <w:pPr>
        <w:pStyle w:val="ListParagraph"/>
        <w:numPr>
          <w:ilvl w:val="0"/>
          <w:numId w:val="2"/>
        </w:numPr>
        <w:shd w:val="clear" w:color="auto" w:fill="FFFFFF"/>
        <w:spacing w:after="0" w:line="276" w:lineRule="auto"/>
        <w:rPr>
          <w:rFonts w:ascii="Calibri" w:eastAsia="Times New Roman" w:hAnsi="Calibri" w:cs="Calibri"/>
          <w:color w:val="333333"/>
          <w:kern w:val="0"/>
          <w:lang w:eastAsia="en-GB"/>
          <w14:ligatures w14:val="none"/>
        </w:rPr>
      </w:pPr>
      <w:r w:rsidRPr="00495ECF">
        <w:rPr>
          <w:rFonts w:ascii="Calibri" w:eastAsia="Times New Roman" w:hAnsi="Calibri" w:cs="Calibri"/>
          <w:b/>
          <w:bCs/>
          <w:color w:val="333333"/>
          <w:kern w:val="0"/>
          <w:lang w:eastAsia="en-GB"/>
          <w14:ligatures w14:val="none"/>
        </w:rPr>
        <w:t>Research student environment</w:t>
      </w:r>
      <w:r w:rsidRPr="000938D8">
        <w:rPr>
          <w:rFonts w:ascii="Calibri" w:eastAsia="Times New Roman" w:hAnsi="Calibri" w:cs="Calibri"/>
          <w:color w:val="333333"/>
          <w:kern w:val="0"/>
          <w:lang w:eastAsia="en-GB"/>
          <w14:ligatures w14:val="none"/>
        </w:rPr>
        <w:t>: The University has taken positive steps to enhance the postgraduate student environment, developing arrangements and activities to support Research Supervisor Training and staff development - for which uptake has been good, from a range of staff across different career stages, and for which feedback has been positive</w:t>
      </w:r>
      <w:r>
        <w:rPr>
          <w:rFonts w:ascii="Calibri" w:eastAsia="Times New Roman" w:hAnsi="Calibri" w:cs="Calibri"/>
          <w:color w:val="333333"/>
          <w:kern w:val="0"/>
          <w:lang w:eastAsia="en-GB"/>
          <w14:ligatures w14:val="none"/>
        </w:rPr>
        <w:t>.</w:t>
      </w:r>
    </w:p>
    <w:p w14:paraId="2495AC35" w14:textId="77777777" w:rsidR="000938D8" w:rsidRDefault="000938D8" w:rsidP="000938D8">
      <w:pPr>
        <w:shd w:val="clear" w:color="auto" w:fill="FFFFFF"/>
        <w:spacing w:after="0" w:line="276" w:lineRule="auto"/>
        <w:rPr>
          <w:rFonts w:ascii="Calibri" w:eastAsia="Times New Roman" w:hAnsi="Calibri" w:cs="Calibri"/>
          <w:color w:val="333333"/>
          <w:kern w:val="0"/>
          <w:lang w:eastAsia="en-GB"/>
          <w14:ligatures w14:val="none"/>
        </w:rPr>
      </w:pPr>
    </w:p>
    <w:p w14:paraId="0F7F724A" w14:textId="1CDC2E3F" w:rsidR="009D7DBD" w:rsidRDefault="000938D8" w:rsidP="009D7DBD">
      <w:pPr>
        <w:shd w:val="clear" w:color="auto" w:fill="FFFFFF"/>
        <w:spacing w:after="0" w:line="276" w:lineRule="auto"/>
        <w:rPr>
          <w:rFonts w:ascii="Calibri" w:eastAsia="Times New Roman" w:hAnsi="Calibri" w:cs="Calibri"/>
          <w:color w:val="333333"/>
          <w:kern w:val="0"/>
          <w:lang w:eastAsia="en-GB"/>
          <w14:ligatures w14:val="none"/>
        </w:rPr>
      </w:pPr>
      <w:r w:rsidRPr="000938D8">
        <w:rPr>
          <w:rFonts w:ascii="Calibri" w:eastAsia="Times New Roman" w:hAnsi="Calibri" w:cs="Calibri"/>
          <w:color w:val="333333"/>
          <w:kern w:val="0"/>
          <w:lang w:eastAsia="en-GB"/>
          <w14:ligatures w14:val="none"/>
        </w:rPr>
        <w:t>In addition, t</w:t>
      </w:r>
      <w:r>
        <w:rPr>
          <w:rFonts w:ascii="Calibri" w:eastAsia="Times New Roman" w:hAnsi="Calibri" w:cs="Calibri"/>
          <w:color w:val="333333"/>
          <w:kern w:val="0"/>
          <w:lang w:eastAsia="en-GB"/>
          <w14:ligatures w14:val="none"/>
        </w:rPr>
        <w:t xml:space="preserve">he review report provided four </w:t>
      </w:r>
      <w:r w:rsidRPr="000938D8">
        <w:rPr>
          <w:rFonts w:ascii="Calibri" w:eastAsia="Times New Roman" w:hAnsi="Calibri" w:cs="Calibri"/>
          <w:color w:val="333333"/>
          <w:kern w:val="0"/>
          <w:lang w:eastAsia="en-GB"/>
          <w14:ligatures w14:val="none"/>
        </w:rPr>
        <w:t>recommendation</w:t>
      </w:r>
      <w:r>
        <w:rPr>
          <w:rFonts w:ascii="Calibri" w:eastAsia="Times New Roman" w:hAnsi="Calibri" w:cs="Calibri"/>
          <w:color w:val="333333"/>
          <w:kern w:val="0"/>
          <w:lang w:eastAsia="en-GB"/>
          <w14:ligatures w14:val="none"/>
        </w:rPr>
        <w:t>s</w:t>
      </w:r>
      <w:r w:rsidRPr="000938D8">
        <w:rPr>
          <w:rFonts w:ascii="Calibri" w:eastAsia="Times New Roman" w:hAnsi="Calibri" w:cs="Calibri"/>
          <w:color w:val="333333"/>
          <w:kern w:val="0"/>
          <w:lang w:eastAsia="en-GB"/>
          <w14:ligatures w14:val="none"/>
        </w:rPr>
        <w:t xml:space="preserve"> for action</w:t>
      </w:r>
      <w:r>
        <w:rPr>
          <w:rFonts w:ascii="Calibri" w:eastAsia="Times New Roman" w:hAnsi="Calibri" w:cs="Calibri"/>
          <w:color w:val="333333"/>
          <w:kern w:val="0"/>
          <w:lang w:eastAsia="en-GB"/>
          <w14:ligatures w14:val="none"/>
        </w:rPr>
        <w:t xml:space="preserve"> and this plan sets out the actions planned and progressed by the University in response to these recommendations. The preparation of the action plan and progression of each of the agreed actions has been overseen by the External Quality Review Group. </w:t>
      </w:r>
    </w:p>
    <w:p w14:paraId="49ADCDD6" w14:textId="77777777" w:rsidR="009D7DBD" w:rsidRDefault="009D7DBD" w:rsidP="009D7DBD">
      <w:pPr>
        <w:shd w:val="clear" w:color="auto" w:fill="FFFFFF"/>
        <w:spacing w:after="0" w:line="276" w:lineRule="auto"/>
        <w:rPr>
          <w:rFonts w:ascii="Calibri" w:eastAsia="Times New Roman" w:hAnsi="Calibri" w:cs="Calibri"/>
          <w:color w:val="333333"/>
          <w:kern w:val="0"/>
          <w:lang w:eastAsia="en-GB"/>
          <w14:ligatures w14:val="none"/>
        </w:rPr>
      </w:pPr>
    </w:p>
    <w:p w14:paraId="4C092409" w14:textId="77777777" w:rsidR="00EE767A" w:rsidRDefault="00EE767A" w:rsidP="009D7DBD">
      <w:pPr>
        <w:spacing w:after="0" w:line="276" w:lineRule="auto"/>
        <w:rPr>
          <w:rFonts w:ascii="Calibri" w:hAnsi="Calibri" w:cs="Calibri"/>
        </w:rPr>
      </w:pPr>
    </w:p>
    <w:p w14:paraId="32CE4B04" w14:textId="567656DD" w:rsidR="000938D8" w:rsidRDefault="000938D8">
      <w:r>
        <w:br w:type="page"/>
      </w:r>
      <w:r w:rsidR="006F0FE5" w:rsidRPr="006F0FE5">
        <w:rPr>
          <w:rFonts w:ascii="Calibri" w:hAnsi="Calibri" w:cs="Calibri"/>
          <w:noProof/>
        </w:rPr>
        <mc:AlternateContent>
          <mc:Choice Requires="wps">
            <w:drawing>
              <wp:inline distT="0" distB="0" distL="0" distR="0" wp14:anchorId="14EF3F0B" wp14:editId="179FDBBF">
                <wp:extent cx="9963150" cy="466725"/>
                <wp:effectExtent l="0" t="0" r="19050" b="28575"/>
                <wp:docPr id="860531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466725"/>
                        </a:xfrm>
                        <a:prstGeom prst="rect">
                          <a:avLst/>
                        </a:prstGeom>
                        <a:solidFill>
                          <a:srgbClr val="FFCE3C"/>
                        </a:solidFill>
                        <a:ln w="9525">
                          <a:solidFill>
                            <a:srgbClr val="000000"/>
                          </a:solidFill>
                          <a:miter lim="800000"/>
                          <a:headEnd/>
                          <a:tailEnd/>
                        </a:ln>
                      </wps:spPr>
                      <wps:txbx>
                        <w:txbxContent>
                          <w:p w14:paraId="6FB1611D" w14:textId="77777777" w:rsidR="006F0FE5" w:rsidRDefault="006F0FE5" w:rsidP="006F0FE5">
                            <w:pPr>
                              <w:rPr>
                                <w:rFonts w:ascii="Calibri" w:hAnsi="Calibri" w:cs="Calibri"/>
                              </w:rPr>
                            </w:pPr>
                            <w:r>
                              <w:rPr>
                                <w:rFonts w:ascii="Calibri" w:hAnsi="Calibri" w:cs="Calibri"/>
                                <w:b/>
                                <w:bCs/>
                              </w:rPr>
                              <w:t>QESR RECOMMENDATION – Hybrid Learning</w:t>
                            </w:r>
                            <w:r w:rsidRPr="007E55DA">
                              <w:rPr>
                                <w:rFonts w:ascii="Calibri" w:hAnsi="Calibri" w:cs="Calibri"/>
                              </w:rPr>
                              <w:t>:</w:t>
                            </w:r>
                            <w:r>
                              <w:rPr>
                                <w:rFonts w:ascii="Calibri" w:hAnsi="Calibri" w:cs="Calibri"/>
                              </w:rPr>
                              <w:t xml:space="preserve"> </w:t>
                            </w:r>
                            <w:r w:rsidRPr="007E55DA">
                              <w:rPr>
                                <w:rFonts w:ascii="Calibri" w:hAnsi="Calibri" w:cs="Calibri"/>
                              </w:rPr>
                              <w:t>The University should ensure consistency in the approach to hybrid learning in accordance with university policies and articulated approaches and reduce reliance on individual staff approaches, particularly in respect of lecture recording and access via 'Listen Again'</w:t>
                            </w:r>
                          </w:p>
                          <w:p w14:paraId="0737753C" w14:textId="77777777" w:rsidR="006F0FE5" w:rsidRDefault="006F0FE5" w:rsidP="006F0FE5"/>
                          <w:p w14:paraId="75993B43" w14:textId="77777777" w:rsidR="006F0FE5" w:rsidRDefault="006F0FE5" w:rsidP="006F0FE5"/>
                        </w:txbxContent>
                      </wps:txbx>
                      <wps:bodyPr rot="0" vert="horz" wrap="square" lIns="91440" tIns="45720" rIns="91440" bIns="45720" anchor="t" anchorCtr="0">
                        <a:noAutofit/>
                      </wps:bodyPr>
                    </wps:wsp>
                  </a:graphicData>
                </a:graphic>
              </wp:inline>
            </w:drawing>
          </mc:Choice>
          <mc:Fallback>
            <w:pict>
              <v:shapetype w14:anchorId="14EF3F0B" id="_x0000_t202" coordsize="21600,21600" o:spt="202" path="m,l,21600r21600,l21600,xe">
                <v:stroke joinstyle="miter"/>
                <v:path gradientshapeok="t" o:connecttype="rect"/>
              </v:shapetype>
              <v:shape id="Text Box 2" o:spid="_x0000_s1026" type="#_x0000_t202" style="width:78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" fillcolor="#ffce3c">
                <v:textbox>
                  <w:txbxContent>
                    <w:p w14:paraId="6FB1611D" w14:textId="77777777" w:rsidR="006F0FE5" w:rsidRDefault="006F0FE5" w:rsidP="006F0FE5">
                      <w:pPr>
                        <w:rPr>
                          <w:rFonts w:ascii="Calibri" w:hAnsi="Calibri" w:cs="Calibri"/>
                        </w:rPr>
                      </w:pPr>
                      <w:r>
                        <w:rPr>
                          <w:rFonts w:ascii="Calibri" w:hAnsi="Calibri" w:cs="Calibri"/>
                          <w:b/>
                          <w:bCs/>
                        </w:rPr>
                        <w:t>QESR RECOMMENDATION – Hybrid Learning</w:t>
                      </w:r>
                      <w:r w:rsidRPr="007E55DA">
                        <w:rPr>
                          <w:rFonts w:ascii="Calibri" w:hAnsi="Calibri" w:cs="Calibri"/>
                        </w:rPr>
                        <w:t>:</w:t>
                      </w:r>
                      <w:r>
                        <w:rPr>
                          <w:rFonts w:ascii="Calibri" w:hAnsi="Calibri" w:cs="Calibri"/>
                        </w:rPr>
                        <w:t xml:space="preserve"> </w:t>
                      </w:r>
                      <w:r w:rsidRPr="007E55DA">
                        <w:rPr>
                          <w:rFonts w:ascii="Calibri" w:hAnsi="Calibri" w:cs="Calibri"/>
                        </w:rPr>
                        <w:t>The University should ensure consistency in the approach to hybrid learning in accordance with university policies and articulated approaches and reduce reliance on individual staff approaches, particularly in respect of lecture recording and access via 'Listen Again'</w:t>
                      </w:r>
                    </w:p>
                    <w:p w14:paraId="0737753C" w14:textId="77777777" w:rsidR="006F0FE5" w:rsidRDefault="006F0FE5" w:rsidP="006F0FE5"/>
                    <w:p w14:paraId="75993B43" w14:textId="77777777" w:rsidR="006F0FE5" w:rsidRDefault="006F0FE5" w:rsidP="006F0FE5"/>
                  </w:txbxContent>
                </v:textbox>
                <w10:anchorlock/>
              </v:shape>
            </w:pict>
          </mc:Fallback>
        </mc:AlternateContent>
      </w:r>
    </w:p>
    <w:tbl>
      <w:tblPr>
        <w:tblStyle w:val="TableGrid"/>
        <w:tblpPr w:leftFromText="180" w:rightFromText="180" w:horzAnchor="margin" w:tblpY="915"/>
        <w:tblW w:w="15706" w:type="dxa"/>
        <w:tblLook w:val="04A0" w:firstRow="1" w:lastRow="0" w:firstColumn="1" w:lastColumn="0" w:noHBand="0" w:noVBand="1"/>
      </w:tblPr>
      <w:tblGrid>
        <w:gridCol w:w="940"/>
        <w:gridCol w:w="7820"/>
        <w:gridCol w:w="3119"/>
        <w:gridCol w:w="2126"/>
        <w:gridCol w:w="1701"/>
      </w:tblGrid>
      <w:tr w:rsidR="00E456DE" w:rsidRPr="007E55DA" w14:paraId="3379A840" w14:textId="77777777" w:rsidTr="00187268">
        <w:tc>
          <w:tcPr>
            <w:tcW w:w="940" w:type="dxa"/>
            <w:shd w:val="clear" w:color="auto" w:fill="A5C9EB" w:themeFill="text2" w:themeFillTint="40"/>
          </w:tcPr>
          <w:p w14:paraId="62E79CF1" w14:textId="44A9E2BF" w:rsidR="00E456DE" w:rsidRDefault="00E456DE" w:rsidP="00187268">
            <w:pPr>
              <w:spacing w:line="276" w:lineRule="auto"/>
              <w:rPr>
                <w:rFonts w:ascii="Calibri" w:hAnsi="Calibri" w:cs="Calibri"/>
                <w:b/>
                <w:bCs/>
              </w:rPr>
            </w:pPr>
            <w:bookmarkStart w:id="0" w:name="_Hlk164094807"/>
            <w:r>
              <w:rPr>
                <w:rFonts w:ascii="Calibri" w:hAnsi="Calibri" w:cs="Calibri"/>
                <w:b/>
                <w:bCs/>
              </w:rPr>
              <w:t>Action Ref</w:t>
            </w:r>
          </w:p>
        </w:tc>
        <w:tc>
          <w:tcPr>
            <w:tcW w:w="7820" w:type="dxa"/>
            <w:shd w:val="clear" w:color="auto" w:fill="A5C9EB" w:themeFill="text2" w:themeFillTint="40"/>
          </w:tcPr>
          <w:p w14:paraId="6A7CA928" w14:textId="77777777" w:rsidR="00E456DE" w:rsidRPr="007E55DA" w:rsidRDefault="00E456DE" w:rsidP="00187268">
            <w:pPr>
              <w:spacing w:line="276" w:lineRule="auto"/>
              <w:rPr>
                <w:rFonts w:ascii="Calibri" w:hAnsi="Calibri" w:cs="Calibri"/>
              </w:rPr>
            </w:pPr>
            <w:r w:rsidRPr="006F55A0">
              <w:rPr>
                <w:rFonts w:ascii="Calibri" w:hAnsi="Calibri" w:cs="Calibri"/>
                <w:b/>
                <w:bCs/>
              </w:rPr>
              <w:t>Action in Response to Recommendation</w:t>
            </w:r>
          </w:p>
        </w:tc>
        <w:tc>
          <w:tcPr>
            <w:tcW w:w="3119" w:type="dxa"/>
            <w:shd w:val="clear" w:color="auto" w:fill="A5C9EB" w:themeFill="text2" w:themeFillTint="40"/>
          </w:tcPr>
          <w:p w14:paraId="4B725B0B" w14:textId="77777777" w:rsidR="00E456DE" w:rsidRPr="007E55DA" w:rsidRDefault="00E456DE" w:rsidP="00187268">
            <w:pPr>
              <w:spacing w:line="276" w:lineRule="auto"/>
              <w:rPr>
                <w:rFonts w:ascii="Calibri" w:hAnsi="Calibri" w:cs="Calibri"/>
              </w:rPr>
            </w:pPr>
            <w:r w:rsidRPr="006F55A0">
              <w:rPr>
                <w:rFonts w:ascii="Calibri" w:hAnsi="Calibri" w:cs="Calibri"/>
                <w:b/>
                <w:bCs/>
              </w:rPr>
              <w:t xml:space="preserve">Action </w:t>
            </w:r>
            <w:proofErr w:type="gramStart"/>
            <w:r w:rsidRPr="006F55A0">
              <w:rPr>
                <w:rFonts w:ascii="Calibri" w:hAnsi="Calibri" w:cs="Calibri"/>
                <w:b/>
                <w:bCs/>
              </w:rPr>
              <w:t>Lead</w:t>
            </w:r>
            <w:proofErr w:type="gramEnd"/>
          </w:p>
        </w:tc>
        <w:tc>
          <w:tcPr>
            <w:tcW w:w="2126" w:type="dxa"/>
            <w:shd w:val="clear" w:color="auto" w:fill="A5C9EB" w:themeFill="text2" w:themeFillTint="40"/>
          </w:tcPr>
          <w:p w14:paraId="23A2AC2B" w14:textId="77777777" w:rsidR="00E456DE" w:rsidRPr="007E55DA" w:rsidRDefault="00E456DE" w:rsidP="00187268">
            <w:pPr>
              <w:spacing w:line="276" w:lineRule="auto"/>
              <w:rPr>
                <w:rFonts w:ascii="Calibri" w:hAnsi="Calibri" w:cs="Calibri"/>
              </w:rPr>
            </w:pPr>
            <w:r w:rsidRPr="006F55A0">
              <w:rPr>
                <w:rFonts w:ascii="Calibri" w:hAnsi="Calibri" w:cs="Calibri"/>
                <w:b/>
                <w:bCs/>
              </w:rPr>
              <w:t>Timeline for Action Completion</w:t>
            </w:r>
          </w:p>
        </w:tc>
        <w:tc>
          <w:tcPr>
            <w:tcW w:w="1701" w:type="dxa"/>
            <w:shd w:val="clear" w:color="auto" w:fill="A5C9EB" w:themeFill="text2" w:themeFillTint="40"/>
          </w:tcPr>
          <w:p w14:paraId="32B3B6D4" w14:textId="77777777" w:rsidR="00E456DE" w:rsidRPr="007E55DA" w:rsidRDefault="00E456DE" w:rsidP="00187268">
            <w:pPr>
              <w:spacing w:line="276" w:lineRule="auto"/>
              <w:rPr>
                <w:rFonts w:ascii="Calibri" w:hAnsi="Calibri" w:cs="Calibri"/>
              </w:rPr>
            </w:pPr>
            <w:r w:rsidRPr="006F55A0">
              <w:rPr>
                <w:rFonts w:ascii="Calibri" w:hAnsi="Calibri" w:cs="Calibri"/>
                <w:b/>
                <w:bCs/>
              </w:rPr>
              <w:t>Status of Action</w:t>
            </w:r>
          </w:p>
        </w:tc>
      </w:tr>
      <w:tr w:rsidR="00E456DE" w:rsidRPr="007E55DA" w14:paraId="02DD7E85" w14:textId="77777777" w:rsidTr="00187268">
        <w:trPr>
          <w:trHeight w:val="700"/>
        </w:trPr>
        <w:tc>
          <w:tcPr>
            <w:tcW w:w="940" w:type="dxa"/>
          </w:tcPr>
          <w:p w14:paraId="5D3872CB" w14:textId="63292C58" w:rsidR="00E456DE" w:rsidRPr="000938D8" w:rsidRDefault="00E456DE" w:rsidP="00187268">
            <w:pPr>
              <w:pStyle w:val="ListParagraph"/>
              <w:numPr>
                <w:ilvl w:val="0"/>
                <w:numId w:val="3"/>
              </w:numPr>
              <w:spacing w:line="276" w:lineRule="auto"/>
              <w:rPr>
                <w:rFonts w:ascii="Calibri" w:hAnsi="Calibri" w:cs="Calibri"/>
              </w:rPr>
            </w:pPr>
          </w:p>
        </w:tc>
        <w:tc>
          <w:tcPr>
            <w:tcW w:w="7820" w:type="dxa"/>
          </w:tcPr>
          <w:p w14:paraId="5998C3E4" w14:textId="412514D8" w:rsidR="00E456DE" w:rsidRPr="007E55DA" w:rsidRDefault="00E456DE" w:rsidP="00187268">
            <w:pPr>
              <w:spacing w:line="276" w:lineRule="auto"/>
              <w:rPr>
                <w:rFonts w:ascii="Calibri" w:hAnsi="Calibri" w:cs="Calibri"/>
              </w:rPr>
            </w:pPr>
            <w:r>
              <w:rPr>
                <w:rFonts w:ascii="Calibri" w:hAnsi="Calibri" w:cs="Calibri"/>
              </w:rPr>
              <w:t>Upgrade all teaching rooms and lecture theatres to be equipped with high quality recording equipment in line with the standard specifications determined through the Learning Spaces Project and to facilitate consistency of approach.</w:t>
            </w:r>
          </w:p>
        </w:tc>
        <w:tc>
          <w:tcPr>
            <w:tcW w:w="3119" w:type="dxa"/>
          </w:tcPr>
          <w:p w14:paraId="549FDC1E" w14:textId="3F5D32B6" w:rsidR="00E456DE" w:rsidRDefault="00E456DE" w:rsidP="00187268">
            <w:pPr>
              <w:spacing w:line="276" w:lineRule="auto"/>
              <w:rPr>
                <w:rFonts w:ascii="Calibri" w:hAnsi="Calibri" w:cs="Calibri"/>
              </w:rPr>
            </w:pPr>
            <w:r>
              <w:rPr>
                <w:rFonts w:ascii="Calibri" w:hAnsi="Calibri" w:cs="Calibri"/>
              </w:rPr>
              <w:t>Director of Service Delivery and Change</w:t>
            </w:r>
          </w:p>
        </w:tc>
        <w:tc>
          <w:tcPr>
            <w:tcW w:w="2126" w:type="dxa"/>
          </w:tcPr>
          <w:p w14:paraId="1DC0C07B" w14:textId="71C0A8F0" w:rsidR="00E456DE" w:rsidRPr="00CA6E53" w:rsidRDefault="00E456DE" w:rsidP="00187268">
            <w:pPr>
              <w:spacing w:line="276" w:lineRule="auto"/>
              <w:rPr>
                <w:rFonts w:ascii="Calibri" w:hAnsi="Calibri" w:cs="Calibri"/>
              </w:rPr>
            </w:pPr>
            <w:r w:rsidRPr="00CA6E53">
              <w:rPr>
                <w:rFonts w:ascii="Calibri" w:hAnsi="Calibri" w:cs="Calibri"/>
              </w:rPr>
              <w:t>June 2024</w:t>
            </w:r>
          </w:p>
        </w:tc>
        <w:tc>
          <w:tcPr>
            <w:tcW w:w="1701" w:type="dxa"/>
          </w:tcPr>
          <w:p w14:paraId="06A4FF29" w14:textId="78607D32" w:rsidR="00E456DE" w:rsidRPr="007E55DA" w:rsidRDefault="00E456DE" w:rsidP="00187268">
            <w:pPr>
              <w:spacing w:line="276" w:lineRule="auto"/>
              <w:rPr>
                <w:rFonts w:ascii="Calibri" w:hAnsi="Calibri" w:cs="Calibri"/>
              </w:rPr>
            </w:pPr>
            <w:r>
              <w:rPr>
                <w:rFonts w:ascii="Calibri" w:hAnsi="Calibri" w:cs="Calibri"/>
              </w:rPr>
              <w:t>Complete</w:t>
            </w:r>
          </w:p>
        </w:tc>
      </w:tr>
      <w:tr w:rsidR="002930C6" w:rsidRPr="007E55DA" w14:paraId="76E6C59C" w14:textId="77777777" w:rsidTr="00187268">
        <w:trPr>
          <w:trHeight w:val="700"/>
        </w:trPr>
        <w:tc>
          <w:tcPr>
            <w:tcW w:w="940" w:type="dxa"/>
          </w:tcPr>
          <w:p w14:paraId="1162640F" w14:textId="77777777" w:rsidR="002930C6" w:rsidRPr="000938D8" w:rsidRDefault="002930C6" w:rsidP="00187268">
            <w:pPr>
              <w:pStyle w:val="ListParagraph"/>
              <w:numPr>
                <w:ilvl w:val="0"/>
                <w:numId w:val="3"/>
              </w:numPr>
              <w:spacing w:line="276" w:lineRule="auto"/>
              <w:rPr>
                <w:rFonts w:ascii="Calibri" w:hAnsi="Calibri" w:cs="Calibri"/>
              </w:rPr>
            </w:pPr>
          </w:p>
        </w:tc>
        <w:tc>
          <w:tcPr>
            <w:tcW w:w="7820" w:type="dxa"/>
          </w:tcPr>
          <w:p w14:paraId="06A53DDD" w14:textId="14FD1720" w:rsidR="002930C6" w:rsidRDefault="002930C6" w:rsidP="00187268">
            <w:pPr>
              <w:spacing w:line="276" w:lineRule="auto"/>
              <w:rPr>
                <w:rFonts w:ascii="Calibri" w:hAnsi="Calibri" w:cs="Calibri"/>
              </w:rPr>
            </w:pPr>
            <w:r>
              <w:rPr>
                <w:rFonts w:ascii="Calibri" w:hAnsi="Calibri" w:cs="Calibri"/>
              </w:rPr>
              <w:t>Develop guidance for staff on making lecture recordings available to students immediately, via both the Panopto platform and MS Teams.</w:t>
            </w:r>
          </w:p>
        </w:tc>
        <w:tc>
          <w:tcPr>
            <w:tcW w:w="3119" w:type="dxa"/>
          </w:tcPr>
          <w:p w14:paraId="0C42F36C" w14:textId="1B1F5E07" w:rsidR="002930C6" w:rsidRDefault="002930C6" w:rsidP="00187268">
            <w:pPr>
              <w:spacing w:line="276" w:lineRule="auto"/>
              <w:rPr>
                <w:rFonts w:ascii="Calibri" w:hAnsi="Calibri" w:cs="Calibri"/>
              </w:rPr>
            </w:pPr>
            <w:r>
              <w:rPr>
                <w:rFonts w:ascii="Calibri" w:hAnsi="Calibri" w:cs="Calibri"/>
              </w:rPr>
              <w:t>Director of Service Delivery and Change</w:t>
            </w:r>
          </w:p>
        </w:tc>
        <w:tc>
          <w:tcPr>
            <w:tcW w:w="2126" w:type="dxa"/>
          </w:tcPr>
          <w:p w14:paraId="7F81292F" w14:textId="1D66FF6C" w:rsidR="002930C6" w:rsidRPr="00CA6E53" w:rsidRDefault="002930C6" w:rsidP="00187268">
            <w:pPr>
              <w:spacing w:line="276" w:lineRule="auto"/>
              <w:rPr>
                <w:rFonts w:ascii="Calibri" w:hAnsi="Calibri" w:cs="Calibri"/>
              </w:rPr>
            </w:pPr>
            <w:r w:rsidRPr="00CA6E53">
              <w:rPr>
                <w:rFonts w:ascii="Calibri" w:hAnsi="Calibri" w:cs="Calibri"/>
              </w:rPr>
              <w:t>June 2024</w:t>
            </w:r>
          </w:p>
        </w:tc>
        <w:tc>
          <w:tcPr>
            <w:tcW w:w="1701" w:type="dxa"/>
          </w:tcPr>
          <w:p w14:paraId="1915DDB2" w14:textId="13619F27" w:rsidR="002930C6" w:rsidRDefault="002930C6" w:rsidP="00187268">
            <w:pPr>
              <w:spacing w:line="276" w:lineRule="auto"/>
              <w:rPr>
                <w:rFonts w:ascii="Calibri" w:hAnsi="Calibri" w:cs="Calibri"/>
              </w:rPr>
            </w:pPr>
            <w:r>
              <w:rPr>
                <w:rFonts w:ascii="Calibri" w:hAnsi="Calibri" w:cs="Calibri"/>
              </w:rPr>
              <w:t>Complete</w:t>
            </w:r>
          </w:p>
        </w:tc>
      </w:tr>
      <w:tr w:rsidR="002930C6" w:rsidRPr="007E55DA" w14:paraId="69AE25AB" w14:textId="77777777" w:rsidTr="00187268">
        <w:trPr>
          <w:trHeight w:val="697"/>
        </w:trPr>
        <w:tc>
          <w:tcPr>
            <w:tcW w:w="940" w:type="dxa"/>
          </w:tcPr>
          <w:p w14:paraId="3EDEA7C7" w14:textId="3B178257" w:rsidR="002930C6" w:rsidRPr="000938D8" w:rsidRDefault="002930C6" w:rsidP="00187268">
            <w:pPr>
              <w:pStyle w:val="ListParagraph"/>
              <w:numPr>
                <w:ilvl w:val="0"/>
                <w:numId w:val="3"/>
              </w:numPr>
              <w:spacing w:line="276" w:lineRule="auto"/>
              <w:rPr>
                <w:rFonts w:ascii="Calibri" w:hAnsi="Calibri" w:cs="Calibri"/>
              </w:rPr>
            </w:pPr>
          </w:p>
        </w:tc>
        <w:tc>
          <w:tcPr>
            <w:tcW w:w="7820" w:type="dxa"/>
          </w:tcPr>
          <w:p w14:paraId="7ED73FFA" w14:textId="6AD62D00" w:rsidR="002930C6" w:rsidRPr="007E55DA" w:rsidRDefault="002930C6" w:rsidP="00187268">
            <w:pPr>
              <w:spacing w:line="276" w:lineRule="auto"/>
              <w:rPr>
                <w:rFonts w:ascii="Calibri" w:hAnsi="Calibri" w:cs="Calibri"/>
              </w:rPr>
            </w:pPr>
            <w:r>
              <w:rPr>
                <w:rFonts w:ascii="Calibri" w:hAnsi="Calibri" w:cs="Calibri"/>
              </w:rPr>
              <w:t xml:space="preserve">Disaggregate the ‘Policy on Audio Visual Material to Support Learning’ from the wider policy relating to support for learning, to enhance clarity, accessibility and consistent adoption by staff. </w:t>
            </w:r>
          </w:p>
        </w:tc>
        <w:tc>
          <w:tcPr>
            <w:tcW w:w="3119" w:type="dxa"/>
          </w:tcPr>
          <w:p w14:paraId="22BE4CFD" w14:textId="75CD0774" w:rsidR="002930C6" w:rsidRDefault="002930C6" w:rsidP="00187268">
            <w:pPr>
              <w:spacing w:line="276" w:lineRule="auto"/>
              <w:rPr>
                <w:rFonts w:ascii="Calibri" w:hAnsi="Calibri" w:cs="Calibri"/>
              </w:rPr>
            </w:pPr>
            <w:r>
              <w:rPr>
                <w:rFonts w:ascii="Calibri" w:hAnsi="Calibri" w:cs="Calibri"/>
              </w:rPr>
              <w:t>Academic Registrar</w:t>
            </w:r>
          </w:p>
        </w:tc>
        <w:tc>
          <w:tcPr>
            <w:tcW w:w="2126" w:type="dxa"/>
          </w:tcPr>
          <w:p w14:paraId="7A60907A" w14:textId="4F096B60" w:rsidR="002930C6" w:rsidRPr="007E55DA" w:rsidRDefault="002930C6" w:rsidP="00187268">
            <w:pPr>
              <w:spacing w:line="276" w:lineRule="auto"/>
              <w:rPr>
                <w:rFonts w:ascii="Calibri" w:hAnsi="Calibri" w:cs="Calibri"/>
              </w:rPr>
            </w:pPr>
            <w:r>
              <w:rPr>
                <w:rFonts w:ascii="Calibri" w:hAnsi="Calibri" w:cs="Calibri"/>
              </w:rPr>
              <w:t>August 2024</w:t>
            </w:r>
          </w:p>
        </w:tc>
        <w:tc>
          <w:tcPr>
            <w:tcW w:w="1701" w:type="dxa"/>
          </w:tcPr>
          <w:p w14:paraId="65939453" w14:textId="2911186E" w:rsidR="002930C6" w:rsidRPr="007E55DA" w:rsidRDefault="002930C6" w:rsidP="00187268">
            <w:pPr>
              <w:spacing w:line="276" w:lineRule="auto"/>
              <w:rPr>
                <w:rFonts w:ascii="Calibri" w:hAnsi="Calibri" w:cs="Calibri"/>
              </w:rPr>
            </w:pPr>
            <w:r>
              <w:rPr>
                <w:rFonts w:ascii="Calibri" w:hAnsi="Calibri" w:cs="Calibri"/>
              </w:rPr>
              <w:t>In progress</w:t>
            </w:r>
          </w:p>
        </w:tc>
      </w:tr>
      <w:tr w:rsidR="002930C6" w:rsidRPr="007E55DA" w14:paraId="5774D119" w14:textId="77777777" w:rsidTr="00187268">
        <w:trPr>
          <w:trHeight w:val="692"/>
        </w:trPr>
        <w:tc>
          <w:tcPr>
            <w:tcW w:w="940" w:type="dxa"/>
          </w:tcPr>
          <w:p w14:paraId="5FE8B76A" w14:textId="77777777" w:rsidR="002930C6" w:rsidRPr="000938D8" w:rsidRDefault="002930C6" w:rsidP="00187268">
            <w:pPr>
              <w:pStyle w:val="ListParagraph"/>
              <w:numPr>
                <w:ilvl w:val="0"/>
                <w:numId w:val="3"/>
              </w:numPr>
              <w:spacing w:line="276" w:lineRule="auto"/>
              <w:rPr>
                <w:rFonts w:ascii="Calibri" w:hAnsi="Calibri" w:cs="Calibri"/>
              </w:rPr>
            </w:pPr>
          </w:p>
        </w:tc>
        <w:tc>
          <w:tcPr>
            <w:tcW w:w="7820" w:type="dxa"/>
          </w:tcPr>
          <w:p w14:paraId="7DD148BA" w14:textId="4922D3F8" w:rsidR="002930C6" w:rsidRPr="007E55DA" w:rsidRDefault="002930C6" w:rsidP="00187268">
            <w:pPr>
              <w:spacing w:line="276" w:lineRule="auto"/>
              <w:rPr>
                <w:rFonts w:ascii="Calibri" w:hAnsi="Calibri" w:cs="Calibri"/>
              </w:rPr>
            </w:pPr>
            <w:r>
              <w:rPr>
                <w:rFonts w:ascii="Calibri" w:hAnsi="Calibri" w:cs="Calibri"/>
              </w:rPr>
              <w:t>Ensure the ‘Policy on Audio Visual Material to Support Learning’ is included in the ‘New to Teaching’ training provision for staff new to the University, therefore enabling awareness and consistent adherence to requirements.</w:t>
            </w:r>
          </w:p>
        </w:tc>
        <w:tc>
          <w:tcPr>
            <w:tcW w:w="3119" w:type="dxa"/>
          </w:tcPr>
          <w:p w14:paraId="60E00500" w14:textId="38C1DE12" w:rsidR="002930C6" w:rsidRDefault="002930C6" w:rsidP="00187268">
            <w:pPr>
              <w:spacing w:line="276" w:lineRule="auto"/>
              <w:rPr>
                <w:rFonts w:ascii="Calibri" w:hAnsi="Calibri" w:cs="Calibri"/>
              </w:rPr>
            </w:pPr>
            <w:r>
              <w:rPr>
                <w:rFonts w:ascii="Calibri" w:hAnsi="Calibri" w:cs="Calibri"/>
              </w:rPr>
              <w:t>Head of Learning Innovation and Development</w:t>
            </w:r>
          </w:p>
        </w:tc>
        <w:tc>
          <w:tcPr>
            <w:tcW w:w="2126" w:type="dxa"/>
          </w:tcPr>
          <w:p w14:paraId="060A4720" w14:textId="38DD62C3" w:rsidR="002930C6" w:rsidRPr="007E55DA" w:rsidRDefault="002930C6" w:rsidP="00187268">
            <w:pPr>
              <w:spacing w:line="276" w:lineRule="auto"/>
              <w:rPr>
                <w:rFonts w:ascii="Calibri" w:hAnsi="Calibri" w:cs="Calibri"/>
              </w:rPr>
            </w:pPr>
            <w:r>
              <w:rPr>
                <w:rFonts w:ascii="Calibri" w:hAnsi="Calibri" w:cs="Calibri"/>
              </w:rPr>
              <w:t>August 2024</w:t>
            </w:r>
          </w:p>
        </w:tc>
        <w:tc>
          <w:tcPr>
            <w:tcW w:w="1701" w:type="dxa"/>
          </w:tcPr>
          <w:p w14:paraId="53574EBF" w14:textId="3ECEA853" w:rsidR="002930C6" w:rsidRPr="007E55DA" w:rsidRDefault="002930C6" w:rsidP="00187268">
            <w:pPr>
              <w:spacing w:line="276" w:lineRule="auto"/>
              <w:rPr>
                <w:rFonts w:ascii="Calibri" w:hAnsi="Calibri" w:cs="Calibri"/>
              </w:rPr>
            </w:pPr>
            <w:r>
              <w:rPr>
                <w:rFonts w:ascii="Calibri" w:hAnsi="Calibri" w:cs="Calibri"/>
              </w:rPr>
              <w:t>In progress</w:t>
            </w:r>
          </w:p>
        </w:tc>
      </w:tr>
      <w:tr w:rsidR="002930C6" w14:paraId="255119CC" w14:textId="77777777" w:rsidTr="00187268">
        <w:trPr>
          <w:trHeight w:val="983"/>
        </w:trPr>
        <w:tc>
          <w:tcPr>
            <w:tcW w:w="940" w:type="dxa"/>
          </w:tcPr>
          <w:p w14:paraId="4426C9E2" w14:textId="19BAE2DE" w:rsidR="002930C6" w:rsidRDefault="002930C6" w:rsidP="00187268">
            <w:pPr>
              <w:pStyle w:val="ListParagraph"/>
              <w:numPr>
                <w:ilvl w:val="0"/>
                <w:numId w:val="3"/>
              </w:numPr>
              <w:spacing w:line="276" w:lineRule="auto"/>
              <w:rPr>
                <w:rFonts w:ascii="Calibri" w:hAnsi="Calibri" w:cs="Calibri"/>
              </w:rPr>
            </w:pPr>
          </w:p>
        </w:tc>
        <w:tc>
          <w:tcPr>
            <w:tcW w:w="7820" w:type="dxa"/>
          </w:tcPr>
          <w:p w14:paraId="1F1BAC62" w14:textId="205BEC17" w:rsidR="002930C6" w:rsidRDefault="002930C6" w:rsidP="00187268">
            <w:pPr>
              <w:spacing w:line="276" w:lineRule="auto"/>
              <w:rPr>
                <w:rFonts w:ascii="Calibri" w:hAnsi="Calibri" w:cs="Calibri"/>
              </w:rPr>
            </w:pPr>
            <w:r>
              <w:rPr>
                <w:rFonts w:ascii="Calibri" w:hAnsi="Calibri" w:cs="Calibri"/>
              </w:rPr>
              <w:t xml:space="preserve">Provide clear and consistent messaging to students via the VLE about when recording is and is not appropriate in line with the ‘Policy on Audio Visual Material to Support Learning’ and points of contact should any instances of recordings not being made available in line with the policy arise. </w:t>
            </w:r>
          </w:p>
        </w:tc>
        <w:tc>
          <w:tcPr>
            <w:tcW w:w="3119" w:type="dxa"/>
          </w:tcPr>
          <w:p w14:paraId="03B0F7CF" w14:textId="20A4A6E9" w:rsidR="002930C6" w:rsidRDefault="002930C6" w:rsidP="00187268">
            <w:pPr>
              <w:spacing w:line="276" w:lineRule="auto"/>
              <w:rPr>
                <w:rFonts w:ascii="Calibri" w:hAnsi="Calibri" w:cs="Calibri"/>
              </w:rPr>
            </w:pPr>
            <w:r>
              <w:rPr>
                <w:rFonts w:ascii="Calibri" w:hAnsi="Calibri" w:cs="Calibri"/>
              </w:rPr>
              <w:t>Head of Learning Innovation and Development/ Director of Service Delivery and Change</w:t>
            </w:r>
          </w:p>
        </w:tc>
        <w:tc>
          <w:tcPr>
            <w:tcW w:w="2126" w:type="dxa"/>
          </w:tcPr>
          <w:p w14:paraId="4B15F77F" w14:textId="48895283" w:rsidR="002930C6" w:rsidRPr="00653054" w:rsidRDefault="002930C6" w:rsidP="00187268">
            <w:pPr>
              <w:spacing w:line="276" w:lineRule="auto"/>
              <w:rPr>
                <w:rFonts w:ascii="Calibri" w:hAnsi="Calibri" w:cs="Calibri"/>
                <w:highlight w:val="yellow"/>
              </w:rPr>
            </w:pPr>
            <w:r w:rsidRPr="00653054">
              <w:rPr>
                <w:rFonts w:ascii="Calibri" w:hAnsi="Calibri" w:cs="Calibri"/>
              </w:rPr>
              <w:t>September 2024</w:t>
            </w:r>
          </w:p>
        </w:tc>
        <w:tc>
          <w:tcPr>
            <w:tcW w:w="1701" w:type="dxa"/>
          </w:tcPr>
          <w:p w14:paraId="24C499E8" w14:textId="330046B1" w:rsidR="002930C6" w:rsidRDefault="002930C6" w:rsidP="00187268">
            <w:pPr>
              <w:spacing w:line="276" w:lineRule="auto"/>
              <w:rPr>
                <w:rFonts w:ascii="Calibri" w:hAnsi="Calibri" w:cs="Calibri"/>
              </w:rPr>
            </w:pPr>
            <w:r>
              <w:rPr>
                <w:rFonts w:ascii="Calibri" w:hAnsi="Calibri" w:cs="Calibri"/>
              </w:rPr>
              <w:t>In progress</w:t>
            </w:r>
          </w:p>
        </w:tc>
      </w:tr>
      <w:tr w:rsidR="002930C6" w14:paraId="0C82E875" w14:textId="77777777" w:rsidTr="00187268">
        <w:trPr>
          <w:trHeight w:val="983"/>
        </w:trPr>
        <w:tc>
          <w:tcPr>
            <w:tcW w:w="940" w:type="dxa"/>
          </w:tcPr>
          <w:p w14:paraId="52A25281" w14:textId="7B8CD6ED" w:rsidR="002930C6" w:rsidRDefault="002930C6" w:rsidP="00187268">
            <w:pPr>
              <w:pStyle w:val="ListParagraph"/>
              <w:numPr>
                <w:ilvl w:val="0"/>
                <w:numId w:val="3"/>
              </w:numPr>
              <w:spacing w:line="276" w:lineRule="auto"/>
              <w:jc w:val="both"/>
              <w:rPr>
                <w:rFonts w:ascii="Calibri" w:hAnsi="Calibri" w:cs="Calibri"/>
              </w:rPr>
            </w:pPr>
          </w:p>
        </w:tc>
        <w:tc>
          <w:tcPr>
            <w:tcW w:w="7820" w:type="dxa"/>
          </w:tcPr>
          <w:p w14:paraId="10C4346D" w14:textId="0AA0098B" w:rsidR="002930C6" w:rsidRDefault="002930C6" w:rsidP="00187268">
            <w:pPr>
              <w:spacing w:line="276" w:lineRule="auto"/>
              <w:rPr>
                <w:rFonts w:ascii="Calibri" w:hAnsi="Calibri" w:cs="Calibri"/>
              </w:rPr>
            </w:pPr>
            <w:r w:rsidRPr="002930C6">
              <w:rPr>
                <w:rFonts w:ascii="Calibri" w:hAnsi="Calibri" w:cs="Calibri"/>
              </w:rPr>
              <w:t>Further explore and develop</w:t>
            </w:r>
            <w:r w:rsidR="00A34D03">
              <w:rPr>
                <w:rFonts w:ascii="Calibri" w:hAnsi="Calibri" w:cs="Calibri"/>
              </w:rPr>
              <w:t xml:space="preserve">, then launch, </w:t>
            </w:r>
            <w:r w:rsidRPr="002930C6">
              <w:rPr>
                <w:rFonts w:ascii="Calibri" w:hAnsi="Calibri" w:cs="Calibri"/>
              </w:rPr>
              <w:t xml:space="preserve">the approach, arrangements and responsibilities for monitoring adherence to policy and process, and therefore achieving consistency, and for </w:t>
            </w:r>
            <w:proofErr w:type="gramStart"/>
            <w:r w:rsidRPr="002930C6">
              <w:rPr>
                <w:rFonts w:ascii="Calibri" w:hAnsi="Calibri" w:cs="Calibri"/>
              </w:rPr>
              <w:t>taking action</w:t>
            </w:r>
            <w:proofErr w:type="gramEnd"/>
            <w:r w:rsidRPr="002930C6">
              <w:rPr>
                <w:rFonts w:ascii="Calibri" w:hAnsi="Calibri" w:cs="Calibri"/>
              </w:rPr>
              <w:t xml:space="preserve"> as appropriate to any instances of inconsistency.</w:t>
            </w:r>
            <w:r>
              <w:rPr>
                <w:rFonts w:ascii="Calibri" w:hAnsi="Calibri" w:cs="Calibri"/>
              </w:rPr>
              <w:t xml:space="preserve"> </w:t>
            </w:r>
          </w:p>
        </w:tc>
        <w:tc>
          <w:tcPr>
            <w:tcW w:w="3119" w:type="dxa"/>
          </w:tcPr>
          <w:p w14:paraId="438192F7" w14:textId="15E75366" w:rsidR="002930C6" w:rsidRDefault="002930C6" w:rsidP="00187268">
            <w:pPr>
              <w:spacing w:line="276" w:lineRule="auto"/>
              <w:rPr>
                <w:rFonts w:ascii="Calibri" w:hAnsi="Calibri" w:cs="Calibri"/>
              </w:rPr>
            </w:pPr>
            <w:r>
              <w:rPr>
                <w:rFonts w:ascii="Calibri" w:hAnsi="Calibri" w:cs="Calibri"/>
              </w:rPr>
              <w:t>Dean for Teaching, Learning and Student Experience</w:t>
            </w:r>
          </w:p>
          <w:p w14:paraId="14FEC378" w14:textId="0E153F12" w:rsidR="002930C6" w:rsidRDefault="002930C6" w:rsidP="00187268">
            <w:pPr>
              <w:spacing w:line="276" w:lineRule="auto"/>
              <w:rPr>
                <w:rFonts w:ascii="Calibri" w:hAnsi="Calibri" w:cs="Calibri"/>
              </w:rPr>
            </w:pPr>
          </w:p>
        </w:tc>
        <w:tc>
          <w:tcPr>
            <w:tcW w:w="2126" w:type="dxa"/>
          </w:tcPr>
          <w:p w14:paraId="3488A31F" w14:textId="53BE749D" w:rsidR="002930C6" w:rsidRDefault="002930C6" w:rsidP="00187268">
            <w:pPr>
              <w:spacing w:line="276" w:lineRule="auto"/>
              <w:rPr>
                <w:rFonts w:ascii="Calibri" w:hAnsi="Calibri" w:cs="Calibri"/>
              </w:rPr>
            </w:pPr>
            <w:r>
              <w:rPr>
                <w:rFonts w:ascii="Calibri" w:hAnsi="Calibri" w:cs="Calibri"/>
              </w:rPr>
              <w:t>September 2024</w:t>
            </w:r>
          </w:p>
        </w:tc>
        <w:tc>
          <w:tcPr>
            <w:tcW w:w="1701" w:type="dxa"/>
          </w:tcPr>
          <w:p w14:paraId="4CA6EA82" w14:textId="60804E5B" w:rsidR="002930C6" w:rsidRDefault="002930C6" w:rsidP="00187268">
            <w:pPr>
              <w:spacing w:line="276" w:lineRule="auto"/>
              <w:rPr>
                <w:rFonts w:ascii="Calibri" w:hAnsi="Calibri" w:cs="Calibri"/>
              </w:rPr>
            </w:pPr>
            <w:r w:rsidRPr="34B38B56">
              <w:rPr>
                <w:rFonts w:ascii="Calibri" w:hAnsi="Calibri" w:cs="Calibri"/>
              </w:rPr>
              <w:t>In progress</w:t>
            </w:r>
          </w:p>
        </w:tc>
      </w:tr>
      <w:tr w:rsidR="00CF37FD" w14:paraId="20ACE630" w14:textId="77777777" w:rsidTr="00187268">
        <w:trPr>
          <w:trHeight w:val="983"/>
        </w:trPr>
        <w:tc>
          <w:tcPr>
            <w:tcW w:w="940" w:type="dxa"/>
          </w:tcPr>
          <w:p w14:paraId="098DDACD" w14:textId="77777777" w:rsidR="00CF37FD" w:rsidRDefault="00CF37FD" w:rsidP="00187268">
            <w:pPr>
              <w:pStyle w:val="ListParagraph"/>
              <w:numPr>
                <w:ilvl w:val="0"/>
                <w:numId w:val="3"/>
              </w:numPr>
              <w:spacing w:line="276" w:lineRule="auto"/>
              <w:jc w:val="both"/>
              <w:rPr>
                <w:rFonts w:ascii="Calibri" w:hAnsi="Calibri" w:cs="Calibri"/>
              </w:rPr>
            </w:pPr>
          </w:p>
        </w:tc>
        <w:tc>
          <w:tcPr>
            <w:tcW w:w="7820" w:type="dxa"/>
          </w:tcPr>
          <w:p w14:paraId="220F9675" w14:textId="454A4525" w:rsidR="00CF37FD" w:rsidRPr="00A4124B" w:rsidRDefault="00A34D03" w:rsidP="00187268">
            <w:pPr>
              <w:spacing w:line="276" w:lineRule="auto"/>
              <w:rPr>
                <w:rFonts w:ascii="Calibri" w:hAnsi="Calibri" w:cs="Calibri"/>
              </w:rPr>
            </w:pPr>
            <w:r w:rsidRPr="00A4124B">
              <w:rPr>
                <w:rFonts w:ascii="Calibri" w:hAnsi="Calibri" w:cs="Calibri"/>
              </w:rPr>
              <w:t xml:space="preserve">Implement the </w:t>
            </w:r>
            <w:r w:rsidR="00A32CDF" w:rsidRPr="00A4124B">
              <w:rPr>
                <w:rFonts w:ascii="Calibri" w:hAnsi="Calibri" w:cs="Calibri"/>
              </w:rPr>
              <w:t>arrangements for monitoring adherence to policy and process</w:t>
            </w:r>
            <w:r w:rsidR="00F43740" w:rsidRPr="00A4124B">
              <w:rPr>
                <w:rFonts w:ascii="Calibri" w:hAnsi="Calibri" w:cs="Calibri"/>
              </w:rPr>
              <w:t xml:space="preserve"> agreed through action </w:t>
            </w:r>
            <w:proofErr w:type="gramStart"/>
            <w:r w:rsidR="00F43740" w:rsidRPr="00A4124B">
              <w:rPr>
                <w:rFonts w:ascii="Calibri" w:hAnsi="Calibri" w:cs="Calibri"/>
              </w:rPr>
              <w:t>6</w:t>
            </w:r>
            <w:r w:rsidR="00A32CDF" w:rsidRPr="00A4124B">
              <w:rPr>
                <w:rFonts w:ascii="Calibri" w:hAnsi="Calibri" w:cs="Calibri"/>
              </w:rPr>
              <w:t>, and</w:t>
            </w:r>
            <w:proofErr w:type="gramEnd"/>
            <w:r w:rsidR="00A32CDF" w:rsidRPr="00A4124B">
              <w:rPr>
                <w:rFonts w:ascii="Calibri" w:hAnsi="Calibri" w:cs="Calibri"/>
              </w:rPr>
              <w:t xml:space="preserve"> </w:t>
            </w:r>
            <w:r w:rsidR="00F43740" w:rsidRPr="00A4124B">
              <w:rPr>
                <w:rFonts w:ascii="Calibri" w:hAnsi="Calibri" w:cs="Calibri"/>
              </w:rPr>
              <w:t>take</w:t>
            </w:r>
            <w:r w:rsidR="00A32CDF" w:rsidRPr="00A4124B">
              <w:rPr>
                <w:rFonts w:ascii="Calibri" w:hAnsi="Calibri" w:cs="Calibri"/>
              </w:rPr>
              <w:t xml:space="preserve"> action</w:t>
            </w:r>
            <w:r w:rsidR="00485075" w:rsidRPr="00A4124B">
              <w:rPr>
                <w:rFonts w:ascii="Calibri" w:hAnsi="Calibri" w:cs="Calibri"/>
              </w:rPr>
              <w:t>/ensure action is taken</w:t>
            </w:r>
            <w:r w:rsidR="00A32CDF" w:rsidRPr="00A4124B">
              <w:rPr>
                <w:rFonts w:ascii="Calibri" w:hAnsi="Calibri" w:cs="Calibri"/>
              </w:rPr>
              <w:t xml:space="preserve"> as appropriate to any instances of inconsistency.</w:t>
            </w:r>
          </w:p>
        </w:tc>
        <w:tc>
          <w:tcPr>
            <w:tcW w:w="3119" w:type="dxa"/>
          </w:tcPr>
          <w:p w14:paraId="4B0BD1E2" w14:textId="68C64CDC" w:rsidR="00CF37FD" w:rsidRPr="00A4124B" w:rsidRDefault="00485075" w:rsidP="00187268">
            <w:pPr>
              <w:spacing w:line="276" w:lineRule="auto"/>
              <w:rPr>
                <w:rFonts w:ascii="Calibri" w:hAnsi="Calibri" w:cs="Calibri"/>
              </w:rPr>
            </w:pPr>
            <w:r w:rsidRPr="00A4124B">
              <w:rPr>
                <w:rFonts w:ascii="Calibri" w:hAnsi="Calibri" w:cs="Calibri"/>
              </w:rPr>
              <w:t>Faculty Deans</w:t>
            </w:r>
          </w:p>
        </w:tc>
        <w:tc>
          <w:tcPr>
            <w:tcW w:w="2126" w:type="dxa"/>
          </w:tcPr>
          <w:p w14:paraId="1F7F9A9A" w14:textId="3D48ABAC" w:rsidR="00CF37FD" w:rsidRPr="00A4124B" w:rsidRDefault="00485075" w:rsidP="00187268">
            <w:pPr>
              <w:spacing w:line="276" w:lineRule="auto"/>
              <w:rPr>
                <w:rFonts w:ascii="Calibri" w:hAnsi="Calibri" w:cs="Calibri"/>
              </w:rPr>
            </w:pPr>
            <w:r w:rsidRPr="00A4124B">
              <w:rPr>
                <w:rFonts w:ascii="Calibri" w:hAnsi="Calibri" w:cs="Calibri"/>
              </w:rPr>
              <w:t>From September 2024</w:t>
            </w:r>
          </w:p>
        </w:tc>
        <w:tc>
          <w:tcPr>
            <w:tcW w:w="1701" w:type="dxa"/>
          </w:tcPr>
          <w:p w14:paraId="7D5AD511" w14:textId="28FC27B9" w:rsidR="00CF37FD" w:rsidRPr="00A4124B" w:rsidRDefault="00B77F40" w:rsidP="00187268">
            <w:pPr>
              <w:spacing w:line="276" w:lineRule="auto"/>
              <w:rPr>
                <w:rFonts w:ascii="Calibri" w:hAnsi="Calibri" w:cs="Calibri"/>
              </w:rPr>
            </w:pPr>
            <w:r w:rsidRPr="00A4124B">
              <w:rPr>
                <w:rFonts w:ascii="Calibri" w:hAnsi="Calibri" w:cs="Calibri"/>
              </w:rPr>
              <w:t>Planned</w:t>
            </w:r>
          </w:p>
        </w:tc>
      </w:tr>
      <w:tr w:rsidR="00702C3F" w14:paraId="4E058012" w14:textId="77777777" w:rsidTr="00187268">
        <w:trPr>
          <w:trHeight w:val="983"/>
        </w:trPr>
        <w:tc>
          <w:tcPr>
            <w:tcW w:w="940" w:type="dxa"/>
          </w:tcPr>
          <w:p w14:paraId="068EA286" w14:textId="77777777" w:rsidR="00702C3F" w:rsidRDefault="00702C3F" w:rsidP="00187268">
            <w:pPr>
              <w:pStyle w:val="ListParagraph"/>
              <w:numPr>
                <w:ilvl w:val="0"/>
                <w:numId w:val="3"/>
              </w:numPr>
              <w:spacing w:line="276" w:lineRule="auto"/>
              <w:jc w:val="both"/>
              <w:rPr>
                <w:rFonts w:ascii="Calibri" w:hAnsi="Calibri" w:cs="Calibri"/>
              </w:rPr>
            </w:pPr>
          </w:p>
        </w:tc>
        <w:tc>
          <w:tcPr>
            <w:tcW w:w="7820" w:type="dxa"/>
          </w:tcPr>
          <w:p w14:paraId="28FD9F76" w14:textId="1DEA69E5" w:rsidR="00702C3F" w:rsidRPr="00A4124B" w:rsidRDefault="001663FE" w:rsidP="00187268">
            <w:pPr>
              <w:spacing w:line="276" w:lineRule="auto"/>
              <w:rPr>
                <w:rFonts w:ascii="Calibri" w:hAnsi="Calibri" w:cs="Calibri"/>
              </w:rPr>
            </w:pPr>
            <w:r w:rsidRPr="00A4124B">
              <w:rPr>
                <w:rFonts w:ascii="Calibri" w:hAnsi="Calibri" w:cs="Calibri"/>
              </w:rPr>
              <w:t xml:space="preserve">Evaluate progress and impact achieved </w:t>
            </w:r>
            <w:r w:rsidR="00CF42CA" w:rsidRPr="00A4124B">
              <w:rPr>
                <w:rFonts w:ascii="Calibri" w:hAnsi="Calibri" w:cs="Calibri"/>
              </w:rPr>
              <w:t>during 2024/25</w:t>
            </w:r>
            <w:r w:rsidR="00220840" w:rsidRPr="00A4124B">
              <w:rPr>
                <w:rFonts w:ascii="Calibri" w:hAnsi="Calibri" w:cs="Calibri"/>
              </w:rPr>
              <w:t xml:space="preserve"> in respect of the hybrid learning approach and </w:t>
            </w:r>
            <w:r w:rsidR="00584BAC" w:rsidRPr="00A4124B">
              <w:rPr>
                <w:rFonts w:ascii="Calibri" w:hAnsi="Calibri" w:cs="Calibri"/>
              </w:rPr>
              <w:t>consider any opportunities for further enhancement ahead of 2025/26.</w:t>
            </w:r>
            <w:r w:rsidR="00CF42CA" w:rsidRPr="00A4124B">
              <w:rPr>
                <w:rFonts w:ascii="Calibri" w:hAnsi="Calibri" w:cs="Calibri"/>
              </w:rPr>
              <w:t xml:space="preserve"> </w:t>
            </w:r>
          </w:p>
        </w:tc>
        <w:tc>
          <w:tcPr>
            <w:tcW w:w="3119" w:type="dxa"/>
          </w:tcPr>
          <w:p w14:paraId="24DB2EDC" w14:textId="1EE85F67" w:rsidR="00702C3F" w:rsidRPr="00A4124B" w:rsidRDefault="00CF42CA" w:rsidP="00187268">
            <w:pPr>
              <w:spacing w:line="276" w:lineRule="auto"/>
              <w:rPr>
                <w:rFonts w:ascii="Calibri" w:hAnsi="Calibri" w:cs="Calibri"/>
              </w:rPr>
            </w:pPr>
            <w:r w:rsidRPr="00A4124B">
              <w:rPr>
                <w:rFonts w:ascii="Calibri" w:hAnsi="Calibri" w:cs="Calibri"/>
              </w:rPr>
              <w:t>Head of Learning Innovation and Development</w:t>
            </w:r>
          </w:p>
        </w:tc>
        <w:tc>
          <w:tcPr>
            <w:tcW w:w="2126" w:type="dxa"/>
          </w:tcPr>
          <w:p w14:paraId="07A18238" w14:textId="6A6175AE" w:rsidR="00702C3F" w:rsidRPr="00A4124B" w:rsidRDefault="00CF42CA" w:rsidP="00187268">
            <w:pPr>
              <w:spacing w:line="276" w:lineRule="auto"/>
              <w:rPr>
                <w:rFonts w:ascii="Calibri" w:hAnsi="Calibri" w:cs="Calibri"/>
              </w:rPr>
            </w:pPr>
            <w:r w:rsidRPr="00A4124B">
              <w:rPr>
                <w:rFonts w:ascii="Calibri" w:hAnsi="Calibri" w:cs="Calibri"/>
              </w:rPr>
              <w:t>July 2025</w:t>
            </w:r>
          </w:p>
        </w:tc>
        <w:tc>
          <w:tcPr>
            <w:tcW w:w="1701" w:type="dxa"/>
          </w:tcPr>
          <w:p w14:paraId="5A0D5F15" w14:textId="71DBCE58" w:rsidR="00702C3F" w:rsidRPr="00A4124B" w:rsidRDefault="00CF42CA" w:rsidP="00187268">
            <w:pPr>
              <w:spacing w:line="276" w:lineRule="auto"/>
              <w:rPr>
                <w:rFonts w:ascii="Calibri" w:hAnsi="Calibri" w:cs="Calibri"/>
              </w:rPr>
            </w:pPr>
            <w:r w:rsidRPr="00A4124B">
              <w:rPr>
                <w:rFonts w:ascii="Calibri" w:hAnsi="Calibri" w:cs="Calibri"/>
              </w:rPr>
              <w:t>Planned</w:t>
            </w:r>
          </w:p>
        </w:tc>
      </w:tr>
    </w:tbl>
    <w:p w14:paraId="179EA494" w14:textId="0B1D860C" w:rsidR="006F0FE5" w:rsidRPr="00721B71" w:rsidRDefault="006F0FE5" w:rsidP="006F0FE5">
      <w:pPr>
        <w:ind w:left="-142"/>
        <w:rPr>
          <w:rFonts w:ascii="Calibri" w:hAnsi="Calibri" w:cs="Calibri"/>
        </w:rPr>
      </w:pPr>
      <w:r w:rsidRPr="006F0FE5">
        <w:rPr>
          <w:rFonts w:ascii="Calibri" w:hAnsi="Calibri" w:cs="Calibri"/>
          <w:noProof/>
        </w:rPr>
        <mc:AlternateContent>
          <mc:Choice Requires="wps">
            <w:drawing>
              <wp:inline distT="0" distB="0" distL="0" distR="0" wp14:anchorId="1DDC9C46" wp14:editId="56144205">
                <wp:extent cx="9944100" cy="638175"/>
                <wp:effectExtent l="0" t="0" r="19050" b="28575"/>
                <wp:docPr id="1829612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638175"/>
                        </a:xfrm>
                        <a:prstGeom prst="rect">
                          <a:avLst/>
                        </a:prstGeom>
                        <a:solidFill>
                          <a:srgbClr val="FFCE3C"/>
                        </a:solidFill>
                        <a:ln w="9525">
                          <a:solidFill>
                            <a:srgbClr val="000000"/>
                          </a:solidFill>
                          <a:miter lim="800000"/>
                          <a:headEnd/>
                          <a:tailEnd/>
                        </a:ln>
                      </wps:spPr>
                      <wps:txbx>
                        <w:txbxContent>
                          <w:p w14:paraId="32B051E6" w14:textId="77777777" w:rsidR="006F0FE5" w:rsidRDefault="006F0FE5" w:rsidP="006F0FE5">
                            <w:pPr>
                              <w:rPr>
                                <w:rFonts w:ascii="Calibri" w:hAnsi="Calibri" w:cs="Calibri"/>
                              </w:rPr>
                            </w:pPr>
                            <w:r>
                              <w:rPr>
                                <w:rFonts w:ascii="Calibri" w:hAnsi="Calibri" w:cs="Calibri"/>
                                <w:b/>
                                <w:bCs/>
                              </w:rPr>
                              <w:t>QESR RECOMMENDATION – Feedback to Students</w:t>
                            </w:r>
                            <w:r w:rsidRPr="007E55DA">
                              <w:rPr>
                                <w:rFonts w:ascii="Calibri" w:hAnsi="Calibri" w:cs="Calibri"/>
                              </w:rPr>
                              <w:t>:</w:t>
                            </w:r>
                            <w:r>
                              <w:rPr>
                                <w:rFonts w:ascii="Calibri" w:hAnsi="Calibri" w:cs="Calibri"/>
                              </w:rPr>
                              <w:t xml:space="preserve"> </w:t>
                            </w:r>
                            <w:r w:rsidRPr="007E55DA">
                              <w:rPr>
                                <w:rFonts w:ascii="Calibri" w:hAnsi="Calibri" w:cs="Calibri"/>
                              </w:rPr>
                              <w:t>The University should develop an approach to ensure the consistent dissemination of information from Staff Student Feedback Committees (SSFCs) to enable effective closing of the student feedback loop. This should ensure programme teams meet the expectations set out in the Policy on Student Module Evaluation Surveys and the Staff Guide to SSFCs.</w:t>
                            </w:r>
                          </w:p>
                          <w:p w14:paraId="4D47F97D" w14:textId="77777777" w:rsidR="006F0FE5" w:rsidRDefault="006F0FE5" w:rsidP="006F0FE5"/>
                          <w:p w14:paraId="5D3B1B08" w14:textId="77777777" w:rsidR="006F0FE5" w:rsidRDefault="006F0FE5" w:rsidP="006F0FE5"/>
                        </w:txbxContent>
                      </wps:txbx>
                      <wps:bodyPr rot="0" vert="horz" wrap="square" lIns="91440" tIns="45720" rIns="91440" bIns="45720" anchor="t" anchorCtr="0">
                        <a:noAutofit/>
                      </wps:bodyPr>
                    </wps:wsp>
                  </a:graphicData>
                </a:graphic>
              </wp:inline>
            </w:drawing>
          </mc:Choice>
          <mc:Fallback>
            <w:pict>
              <v:shape w14:anchorId="1DDC9C46" id="_x0000_s1027" type="#_x0000_t202" style="width:783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" fillcolor="#ffce3c">
                <v:textbox>
                  <w:txbxContent>
                    <w:p w14:paraId="32B051E6" w14:textId="77777777" w:rsidR="006F0FE5" w:rsidRDefault="006F0FE5" w:rsidP="006F0FE5">
                      <w:pPr>
                        <w:rPr>
                          <w:rFonts w:ascii="Calibri" w:hAnsi="Calibri" w:cs="Calibri"/>
                        </w:rPr>
                      </w:pPr>
                      <w:r>
                        <w:rPr>
                          <w:rFonts w:ascii="Calibri" w:hAnsi="Calibri" w:cs="Calibri"/>
                          <w:b/>
                          <w:bCs/>
                        </w:rPr>
                        <w:t>QESR RECOMMENDATION – Feedback to Students</w:t>
                      </w:r>
                      <w:r w:rsidRPr="007E55DA">
                        <w:rPr>
                          <w:rFonts w:ascii="Calibri" w:hAnsi="Calibri" w:cs="Calibri"/>
                        </w:rPr>
                        <w:t>:</w:t>
                      </w:r>
                      <w:r>
                        <w:rPr>
                          <w:rFonts w:ascii="Calibri" w:hAnsi="Calibri" w:cs="Calibri"/>
                        </w:rPr>
                        <w:t xml:space="preserve"> </w:t>
                      </w:r>
                      <w:r w:rsidRPr="007E55DA">
                        <w:rPr>
                          <w:rFonts w:ascii="Calibri" w:hAnsi="Calibri" w:cs="Calibri"/>
                        </w:rPr>
                        <w:t>The University should develop an approach to ensure the consistent dissemination of information from Staff Student Feedback Committees (SSFCs) to enable effective closing of the student feedback loop. This should ensure programme teams meet the expectations set out in the Policy on Student Module Evaluation Surveys and the Staff Guide to SSFCs.</w:t>
                      </w:r>
                    </w:p>
                    <w:p w14:paraId="4D47F97D" w14:textId="77777777" w:rsidR="006F0FE5" w:rsidRDefault="006F0FE5" w:rsidP="006F0FE5"/>
                    <w:p w14:paraId="5D3B1B08" w14:textId="77777777" w:rsidR="006F0FE5" w:rsidRDefault="006F0FE5" w:rsidP="006F0FE5"/>
                  </w:txbxContent>
                </v:textbox>
                <w10:anchorlock/>
              </v:shape>
            </w:pict>
          </mc:Fallback>
        </mc:AlternateContent>
      </w:r>
    </w:p>
    <w:tbl>
      <w:tblPr>
        <w:tblStyle w:val="TableGrid"/>
        <w:tblW w:w="15706" w:type="dxa"/>
        <w:tblInd w:w="-147" w:type="dxa"/>
        <w:tblLook w:val="04A0" w:firstRow="1" w:lastRow="0" w:firstColumn="1" w:lastColumn="0" w:noHBand="0" w:noVBand="1"/>
      </w:tblPr>
      <w:tblGrid>
        <w:gridCol w:w="940"/>
        <w:gridCol w:w="7820"/>
        <w:gridCol w:w="3119"/>
        <w:gridCol w:w="2126"/>
        <w:gridCol w:w="1701"/>
      </w:tblGrid>
      <w:tr w:rsidR="00E456DE" w:rsidRPr="007E55DA" w14:paraId="0939A568" w14:textId="77777777" w:rsidTr="006649E0">
        <w:tc>
          <w:tcPr>
            <w:tcW w:w="940" w:type="dxa"/>
            <w:shd w:val="clear" w:color="auto" w:fill="A5C9EB" w:themeFill="text2" w:themeFillTint="40"/>
          </w:tcPr>
          <w:bookmarkEnd w:id="0"/>
          <w:p w14:paraId="31A7DF61" w14:textId="03533BA2" w:rsidR="00E456DE" w:rsidRDefault="00E456DE" w:rsidP="009D7DBD">
            <w:pPr>
              <w:spacing w:line="276" w:lineRule="auto"/>
              <w:rPr>
                <w:rFonts w:ascii="Calibri" w:hAnsi="Calibri" w:cs="Calibri"/>
                <w:b/>
                <w:bCs/>
              </w:rPr>
            </w:pPr>
            <w:r>
              <w:rPr>
                <w:rFonts w:ascii="Calibri" w:hAnsi="Calibri" w:cs="Calibri"/>
                <w:b/>
                <w:bCs/>
              </w:rPr>
              <w:t>Action Ref</w:t>
            </w:r>
          </w:p>
        </w:tc>
        <w:tc>
          <w:tcPr>
            <w:tcW w:w="7820" w:type="dxa"/>
            <w:shd w:val="clear" w:color="auto" w:fill="A5C9EB" w:themeFill="text2" w:themeFillTint="40"/>
          </w:tcPr>
          <w:p w14:paraId="10316961" w14:textId="77777777" w:rsidR="00E456DE" w:rsidRPr="007E55DA" w:rsidRDefault="00E456DE" w:rsidP="009D7DBD">
            <w:pPr>
              <w:spacing w:line="276" w:lineRule="auto"/>
              <w:rPr>
                <w:rFonts w:ascii="Calibri" w:hAnsi="Calibri" w:cs="Calibri"/>
              </w:rPr>
            </w:pPr>
            <w:r w:rsidRPr="006F55A0">
              <w:rPr>
                <w:rFonts w:ascii="Calibri" w:hAnsi="Calibri" w:cs="Calibri"/>
                <w:b/>
                <w:bCs/>
              </w:rPr>
              <w:t>Action in Response to Recommendation</w:t>
            </w:r>
          </w:p>
        </w:tc>
        <w:tc>
          <w:tcPr>
            <w:tcW w:w="3119" w:type="dxa"/>
            <w:shd w:val="clear" w:color="auto" w:fill="A5C9EB" w:themeFill="text2" w:themeFillTint="40"/>
          </w:tcPr>
          <w:p w14:paraId="52A4593F" w14:textId="77777777" w:rsidR="00E456DE" w:rsidRPr="007E55DA" w:rsidRDefault="00E456DE" w:rsidP="009D7DBD">
            <w:pPr>
              <w:spacing w:line="276" w:lineRule="auto"/>
              <w:rPr>
                <w:rFonts w:ascii="Calibri" w:hAnsi="Calibri" w:cs="Calibri"/>
              </w:rPr>
            </w:pPr>
            <w:r w:rsidRPr="006F55A0">
              <w:rPr>
                <w:rFonts w:ascii="Calibri" w:hAnsi="Calibri" w:cs="Calibri"/>
                <w:b/>
                <w:bCs/>
              </w:rPr>
              <w:t xml:space="preserve">Action </w:t>
            </w:r>
            <w:proofErr w:type="gramStart"/>
            <w:r w:rsidRPr="006F55A0">
              <w:rPr>
                <w:rFonts w:ascii="Calibri" w:hAnsi="Calibri" w:cs="Calibri"/>
                <w:b/>
                <w:bCs/>
              </w:rPr>
              <w:t>Lead</w:t>
            </w:r>
            <w:proofErr w:type="gramEnd"/>
          </w:p>
        </w:tc>
        <w:tc>
          <w:tcPr>
            <w:tcW w:w="2126" w:type="dxa"/>
            <w:shd w:val="clear" w:color="auto" w:fill="A5C9EB" w:themeFill="text2" w:themeFillTint="40"/>
          </w:tcPr>
          <w:p w14:paraId="627DA2E9" w14:textId="77777777" w:rsidR="00E456DE" w:rsidRPr="007E55DA" w:rsidRDefault="00E456DE" w:rsidP="009D7DBD">
            <w:pPr>
              <w:spacing w:line="276" w:lineRule="auto"/>
              <w:rPr>
                <w:rFonts w:ascii="Calibri" w:hAnsi="Calibri" w:cs="Calibri"/>
              </w:rPr>
            </w:pPr>
            <w:r w:rsidRPr="006F55A0">
              <w:rPr>
                <w:rFonts w:ascii="Calibri" w:hAnsi="Calibri" w:cs="Calibri"/>
                <w:b/>
                <w:bCs/>
              </w:rPr>
              <w:t>Timeline for Action Completion</w:t>
            </w:r>
          </w:p>
        </w:tc>
        <w:tc>
          <w:tcPr>
            <w:tcW w:w="1701" w:type="dxa"/>
            <w:shd w:val="clear" w:color="auto" w:fill="A5C9EB" w:themeFill="text2" w:themeFillTint="40"/>
          </w:tcPr>
          <w:p w14:paraId="08DFB544" w14:textId="77777777" w:rsidR="00E456DE" w:rsidRPr="007E55DA" w:rsidRDefault="00E456DE" w:rsidP="009D7DBD">
            <w:pPr>
              <w:spacing w:line="276" w:lineRule="auto"/>
              <w:rPr>
                <w:rFonts w:ascii="Calibri" w:hAnsi="Calibri" w:cs="Calibri"/>
              </w:rPr>
            </w:pPr>
            <w:r w:rsidRPr="006F55A0">
              <w:rPr>
                <w:rFonts w:ascii="Calibri" w:hAnsi="Calibri" w:cs="Calibri"/>
                <w:b/>
                <w:bCs/>
              </w:rPr>
              <w:t>Status of Action</w:t>
            </w:r>
          </w:p>
        </w:tc>
      </w:tr>
      <w:tr w:rsidR="00E456DE" w:rsidRPr="007E55DA" w14:paraId="3BD5D2D2" w14:textId="77777777" w:rsidTr="006649E0">
        <w:trPr>
          <w:trHeight w:val="983"/>
        </w:trPr>
        <w:tc>
          <w:tcPr>
            <w:tcW w:w="940" w:type="dxa"/>
            <w:tcBorders>
              <w:top w:val="single" w:sz="4" w:space="0" w:color="auto"/>
              <w:bottom w:val="single" w:sz="4" w:space="0" w:color="auto"/>
              <w:right w:val="single" w:sz="4" w:space="0" w:color="auto"/>
            </w:tcBorders>
          </w:tcPr>
          <w:p w14:paraId="038B4700" w14:textId="63EAFEFC"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112F71AB" w14:textId="101E5112" w:rsidR="00E456DE" w:rsidRPr="007E55DA" w:rsidRDefault="00E456DE" w:rsidP="000951BA">
            <w:pPr>
              <w:spacing w:line="276" w:lineRule="auto"/>
              <w:rPr>
                <w:rFonts w:ascii="Calibri" w:hAnsi="Calibri" w:cs="Calibri"/>
              </w:rPr>
            </w:pPr>
            <w:r>
              <w:rPr>
                <w:rFonts w:ascii="Calibri" w:hAnsi="Calibri" w:cs="Calibri"/>
              </w:rPr>
              <w:t>Review current arrangements for Staff Student Feedback Committees in partnership with the Students’ Union and formulate recommendations for development, to be piloted in the spring 2024 semester.</w:t>
            </w:r>
          </w:p>
        </w:tc>
        <w:tc>
          <w:tcPr>
            <w:tcW w:w="3119" w:type="dxa"/>
            <w:tcBorders>
              <w:top w:val="single" w:sz="4" w:space="0" w:color="auto"/>
              <w:left w:val="single" w:sz="4" w:space="0" w:color="auto"/>
              <w:bottom w:val="single" w:sz="4" w:space="0" w:color="auto"/>
              <w:right w:val="single" w:sz="4" w:space="0" w:color="auto"/>
            </w:tcBorders>
          </w:tcPr>
          <w:p w14:paraId="048B889E" w14:textId="6FE951F8" w:rsidR="00E456DE" w:rsidRDefault="00E456DE" w:rsidP="000951BA">
            <w:pPr>
              <w:spacing w:line="276" w:lineRule="auto"/>
              <w:rPr>
                <w:rFonts w:ascii="Calibri" w:hAnsi="Calibri" w:cs="Calibri"/>
              </w:rPr>
            </w:pPr>
            <w:r>
              <w:rPr>
                <w:rFonts w:ascii="Calibri" w:hAnsi="Calibri" w:cs="Calibri"/>
              </w:rPr>
              <w:t>Dean for Learning, Teaching and Student Experience /</w:t>
            </w:r>
          </w:p>
          <w:p w14:paraId="6428561B" w14:textId="100E02BB" w:rsidR="00E456DE" w:rsidRDefault="00E456DE" w:rsidP="000951BA">
            <w:pPr>
              <w:spacing w:line="276" w:lineRule="auto"/>
              <w:rPr>
                <w:rFonts w:ascii="Calibri" w:hAnsi="Calibri" w:cs="Calibri"/>
              </w:rPr>
            </w:pPr>
            <w:r>
              <w:rPr>
                <w:rFonts w:ascii="Calibri" w:hAnsi="Calibri" w:cs="Calibri"/>
              </w:rPr>
              <w:t>VP Education</w:t>
            </w:r>
          </w:p>
        </w:tc>
        <w:tc>
          <w:tcPr>
            <w:tcW w:w="2126" w:type="dxa"/>
            <w:tcBorders>
              <w:top w:val="single" w:sz="4" w:space="0" w:color="auto"/>
              <w:left w:val="single" w:sz="4" w:space="0" w:color="auto"/>
              <w:bottom w:val="single" w:sz="4" w:space="0" w:color="auto"/>
              <w:right w:val="single" w:sz="4" w:space="0" w:color="auto"/>
            </w:tcBorders>
          </w:tcPr>
          <w:p w14:paraId="097E7150" w14:textId="7D9773C9" w:rsidR="00E456DE" w:rsidRPr="007E55DA" w:rsidRDefault="00E456DE" w:rsidP="000951BA">
            <w:pPr>
              <w:spacing w:line="276" w:lineRule="auto"/>
              <w:rPr>
                <w:rFonts w:ascii="Calibri" w:hAnsi="Calibri" w:cs="Calibri"/>
              </w:rPr>
            </w:pPr>
            <w:r>
              <w:rPr>
                <w:rFonts w:ascii="Calibri" w:hAnsi="Calibri" w:cs="Calibri"/>
              </w:rPr>
              <w:t>January 2024</w:t>
            </w:r>
          </w:p>
        </w:tc>
        <w:tc>
          <w:tcPr>
            <w:tcW w:w="1701" w:type="dxa"/>
            <w:tcBorders>
              <w:top w:val="single" w:sz="4" w:space="0" w:color="auto"/>
              <w:left w:val="single" w:sz="4" w:space="0" w:color="auto"/>
              <w:bottom w:val="single" w:sz="4" w:space="0" w:color="auto"/>
              <w:right w:val="single" w:sz="4" w:space="0" w:color="auto"/>
            </w:tcBorders>
          </w:tcPr>
          <w:p w14:paraId="52CDCA46" w14:textId="41F50B65" w:rsidR="00E456DE" w:rsidRPr="007E55DA" w:rsidRDefault="00E456DE" w:rsidP="000951BA">
            <w:pPr>
              <w:spacing w:line="276" w:lineRule="auto"/>
              <w:rPr>
                <w:rFonts w:ascii="Calibri" w:hAnsi="Calibri" w:cs="Calibri"/>
              </w:rPr>
            </w:pPr>
            <w:r>
              <w:rPr>
                <w:rFonts w:ascii="Calibri" w:hAnsi="Calibri" w:cs="Calibri"/>
              </w:rPr>
              <w:t>Complete</w:t>
            </w:r>
          </w:p>
        </w:tc>
      </w:tr>
      <w:tr w:rsidR="00E456DE" w:rsidRPr="007E55DA" w14:paraId="7A3F74A3" w14:textId="77777777" w:rsidTr="006649E0">
        <w:trPr>
          <w:trHeight w:val="983"/>
        </w:trPr>
        <w:tc>
          <w:tcPr>
            <w:tcW w:w="940" w:type="dxa"/>
            <w:tcBorders>
              <w:top w:val="single" w:sz="4" w:space="0" w:color="auto"/>
              <w:bottom w:val="single" w:sz="4" w:space="0" w:color="auto"/>
              <w:right w:val="single" w:sz="4" w:space="0" w:color="auto"/>
            </w:tcBorders>
          </w:tcPr>
          <w:p w14:paraId="0FE228F2" w14:textId="15CF7301"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72498947" w14:textId="7705014F" w:rsidR="00E456DE" w:rsidRPr="007E55DA" w:rsidRDefault="00E67496" w:rsidP="000951BA">
            <w:pPr>
              <w:spacing w:line="276" w:lineRule="auto"/>
              <w:rPr>
                <w:rFonts w:ascii="Calibri" w:hAnsi="Calibri" w:cs="Calibri"/>
              </w:rPr>
            </w:pPr>
            <w:r>
              <w:rPr>
                <w:rFonts w:ascii="Calibri" w:hAnsi="Calibri" w:cs="Calibri"/>
              </w:rPr>
              <w:t xml:space="preserve">To enable the </w:t>
            </w:r>
            <w:r w:rsidR="0036619C">
              <w:rPr>
                <w:rFonts w:ascii="Calibri" w:hAnsi="Calibri" w:cs="Calibri"/>
              </w:rPr>
              <w:t>approach to be piloted in the spring 2024 semester, i</w:t>
            </w:r>
            <w:r w:rsidR="00E456DE">
              <w:rPr>
                <w:rFonts w:ascii="Calibri" w:hAnsi="Calibri" w:cs="Calibri"/>
              </w:rPr>
              <w:t xml:space="preserve">ssue co-created guidance for staff and students on the revised Staff Student Feedback Committees process, providing clarity on the responsibilities of stakeholders and points of contact for students if any concerns about the implementation of revised arrangements arise. </w:t>
            </w:r>
          </w:p>
        </w:tc>
        <w:tc>
          <w:tcPr>
            <w:tcW w:w="3119" w:type="dxa"/>
            <w:tcBorders>
              <w:top w:val="single" w:sz="4" w:space="0" w:color="auto"/>
              <w:left w:val="single" w:sz="4" w:space="0" w:color="auto"/>
              <w:bottom w:val="single" w:sz="4" w:space="0" w:color="auto"/>
              <w:right w:val="single" w:sz="4" w:space="0" w:color="auto"/>
            </w:tcBorders>
          </w:tcPr>
          <w:p w14:paraId="66D22B33" w14:textId="77777777" w:rsidR="00E456DE" w:rsidRDefault="00E456DE" w:rsidP="000951BA">
            <w:pPr>
              <w:spacing w:line="276" w:lineRule="auto"/>
              <w:rPr>
                <w:rFonts w:ascii="Calibri" w:hAnsi="Calibri" w:cs="Calibri"/>
              </w:rPr>
            </w:pPr>
            <w:r>
              <w:rPr>
                <w:rFonts w:ascii="Calibri" w:hAnsi="Calibri" w:cs="Calibri"/>
              </w:rPr>
              <w:t>Dean for Learning, Teaching and Student Experience /</w:t>
            </w:r>
          </w:p>
          <w:p w14:paraId="0A245FEF" w14:textId="79E1CF14" w:rsidR="00E456DE" w:rsidRDefault="00E456DE" w:rsidP="000951BA">
            <w:pPr>
              <w:spacing w:line="276" w:lineRule="auto"/>
              <w:rPr>
                <w:rFonts w:ascii="Calibri" w:hAnsi="Calibri" w:cs="Calibri"/>
              </w:rPr>
            </w:pPr>
            <w:r>
              <w:rPr>
                <w:rFonts w:ascii="Calibri" w:hAnsi="Calibri" w:cs="Calibri"/>
              </w:rPr>
              <w:t>VP Education</w:t>
            </w:r>
          </w:p>
        </w:tc>
        <w:tc>
          <w:tcPr>
            <w:tcW w:w="2126" w:type="dxa"/>
            <w:tcBorders>
              <w:top w:val="single" w:sz="4" w:space="0" w:color="auto"/>
              <w:left w:val="single" w:sz="4" w:space="0" w:color="auto"/>
              <w:bottom w:val="single" w:sz="4" w:space="0" w:color="auto"/>
              <w:right w:val="single" w:sz="4" w:space="0" w:color="auto"/>
            </w:tcBorders>
          </w:tcPr>
          <w:p w14:paraId="5FEDF30F" w14:textId="752F9B2C" w:rsidR="00E456DE" w:rsidRPr="007E55DA" w:rsidRDefault="00E456DE" w:rsidP="000951BA">
            <w:pPr>
              <w:spacing w:line="276" w:lineRule="auto"/>
              <w:rPr>
                <w:rFonts w:ascii="Calibri" w:hAnsi="Calibri" w:cs="Calibri"/>
              </w:rPr>
            </w:pPr>
            <w:r>
              <w:rPr>
                <w:rFonts w:ascii="Calibri" w:hAnsi="Calibri" w:cs="Calibri"/>
              </w:rPr>
              <w:t>January 2024</w:t>
            </w:r>
          </w:p>
        </w:tc>
        <w:tc>
          <w:tcPr>
            <w:tcW w:w="1701" w:type="dxa"/>
            <w:tcBorders>
              <w:top w:val="single" w:sz="4" w:space="0" w:color="auto"/>
              <w:left w:val="single" w:sz="4" w:space="0" w:color="auto"/>
              <w:bottom w:val="single" w:sz="4" w:space="0" w:color="auto"/>
              <w:right w:val="single" w:sz="4" w:space="0" w:color="auto"/>
            </w:tcBorders>
          </w:tcPr>
          <w:p w14:paraId="46926BD4" w14:textId="0568E8DD" w:rsidR="00E456DE" w:rsidRPr="007E55DA" w:rsidRDefault="00E456DE" w:rsidP="000951BA">
            <w:pPr>
              <w:spacing w:line="276" w:lineRule="auto"/>
              <w:rPr>
                <w:rFonts w:ascii="Calibri" w:hAnsi="Calibri" w:cs="Calibri"/>
              </w:rPr>
            </w:pPr>
            <w:r>
              <w:rPr>
                <w:rFonts w:ascii="Calibri" w:hAnsi="Calibri" w:cs="Calibri"/>
              </w:rPr>
              <w:t>Complete</w:t>
            </w:r>
          </w:p>
        </w:tc>
      </w:tr>
      <w:tr w:rsidR="00E456DE" w:rsidRPr="007E55DA" w14:paraId="66AA80F7" w14:textId="77777777" w:rsidTr="006649E0">
        <w:trPr>
          <w:trHeight w:val="438"/>
        </w:trPr>
        <w:tc>
          <w:tcPr>
            <w:tcW w:w="940" w:type="dxa"/>
            <w:tcBorders>
              <w:top w:val="single" w:sz="4" w:space="0" w:color="auto"/>
              <w:bottom w:val="single" w:sz="4" w:space="0" w:color="auto"/>
              <w:right w:val="single" w:sz="4" w:space="0" w:color="auto"/>
            </w:tcBorders>
          </w:tcPr>
          <w:p w14:paraId="576CC0FF" w14:textId="77777777"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0234E935" w14:textId="75460DCD" w:rsidR="00E456DE" w:rsidRPr="007E55DA" w:rsidRDefault="0036619C" w:rsidP="000951BA">
            <w:pPr>
              <w:spacing w:line="276" w:lineRule="auto"/>
              <w:rPr>
                <w:rFonts w:ascii="Calibri" w:hAnsi="Calibri" w:cs="Calibri"/>
              </w:rPr>
            </w:pPr>
            <w:r>
              <w:rPr>
                <w:rFonts w:ascii="Calibri" w:hAnsi="Calibri" w:cs="Calibri"/>
              </w:rPr>
              <w:t>To enable the approach to be piloted in the spring 2024 semester, i</w:t>
            </w:r>
            <w:r w:rsidR="007D067F">
              <w:rPr>
                <w:rFonts w:ascii="Calibri" w:hAnsi="Calibri" w:cs="Calibri"/>
              </w:rPr>
              <w:t xml:space="preserve">mplement arrangements to </w:t>
            </w:r>
            <w:r w:rsidR="00D14360">
              <w:rPr>
                <w:rFonts w:ascii="Calibri" w:hAnsi="Calibri" w:cs="Calibri"/>
              </w:rPr>
              <w:t xml:space="preserve">ensure </w:t>
            </w:r>
            <w:r w:rsidR="00E456DE">
              <w:rPr>
                <w:rFonts w:ascii="Calibri" w:hAnsi="Calibri" w:cs="Calibri"/>
              </w:rPr>
              <w:t xml:space="preserve">Staff Student Feedback </w:t>
            </w:r>
            <w:r w:rsidR="00E456DE" w:rsidRPr="34B38B56">
              <w:rPr>
                <w:rFonts w:ascii="Calibri" w:hAnsi="Calibri" w:cs="Calibri"/>
              </w:rPr>
              <w:t>Committee</w:t>
            </w:r>
            <w:r w:rsidR="00E456DE">
              <w:rPr>
                <w:rFonts w:ascii="Calibri" w:hAnsi="Calibri" w:cs="Calibri"/>
              </w:rPr>
              <w:t xml:space="preserve"> training </w:t>
            </w:r>
            <w:r w:rsidR="000710AC">
              <w:rPr>
                <w:rFonts w:ascii="Calibri" w:hAnsi="Calibri" w:cs="Calibri"/>
              </w:rPr>
              <w:t xml:space="preserve">is consistently delivered </w:t>
            </w:r>
            <w:r w:rsidR="00E456DE">
              <w:rPr>
                <w:rFonts w:ascii="Calibri" w:hAnsi="Calibri" w:cs="Calibri"/>
              </w:rPr>
              <w:t xml:space="preserve">for academic student representatives, updated in line with the pilot and associated guidance.  </w:t>
            </w:r>
          </w:p>
        </w:tc>
        <w:tc>
          <w:tcPr>
            <w:tcW w:w="3119" w:type="dxa"/>
            <w:tcBorders>
              <w:top w:val="single" w:sz="4" w:space="0" w:color="auto"/>
              <w:left w:val="single" w:sz="4" w:space="0" w:color="auto"/>
              <w:bottom w:val="single" w:sz="4" w:space="0" w:color="auto"/>
              <w:right w:val="single" w:sz="4" w:space="0" w:color="auto"/>
            </w:tcBorders>
          </w:tcPr>
          <w:p w14:paraId="42E34AC7" w14:textId="533742F9" w:rsidR="00E456DE" w:rsidRDefault="00E456DE" w:rsidP="000951BA">
            <w:pPr>
              <w:spacing w:line="276" w:lineRule="auto"/>
              <w:rPr>
                <w:rFonts w:ascii="Calibri" w:hAnsi="Calibri" w:cs="Calibri"/>
              </w:rPr>
            </w:pPr>
            <w:r>
              <w:rPr>
                <w:rFonts w:ascii="Calibri" w:hAnsi="Calibri" w:cs="Calibri"/>
              </w:rPr>
              <w:t>VP Education</w:t>
            </w:r>
          </w:p>
        </w:tc>
        <w:tc>
          <w:tcPr>
            <w:tcW w:w="2126" w:type="dxa"/>
            <w:tcBorders>
              <w:top w:val="single" w:sz="4" w:space="0" w:color="auto"/>
              <w:left w:val="single" w:sz="4" w:space="0" w:color="auto"/>
              <w:bottom w:val="single" w:sz="4" w:space="0" w:color="auto"/>
              <w:right w:val="single" w:sz="4" w:space="0" w:color="auto"/>
            </w:tcBorders>
          </w:tcPr>
          <w:p w14:paraId="5917612B" w14:textId="77CD0A46" w:rsidR="00E456DE" w:rsidRPr="007E55DA" w:rsidRDefault="00E456DE" w:rsidP="000951BA">
            <w:pPr>
              <w:spacing w:line="276" w:lineRule="auto"/>
              <w:rPr>
                <w:rFonts w:ascii="Calibri" w:hAnsi="Calibri" w:cs="Calibri"/>
              </w:rPr>
            </w:pPr>
            <w:r>
              <w:rPr>
                <w:rFonts w:ascii="Calibri" w:hAnsi="Calibri" w:cs="Calibri"/>
              </w:rPr>
              <w:t>January 2024</w:t>
            </w:r>
          </w:p>
        </w:tc>
        <w:tc>
          <w:tcPr>
            <w:tcW w:w="1701" w:type="dxa"/>
            <w:tcBorders>
              <w:top w:val="single" w:sz="4" w:space="0" w:color="auto"/>
              <w:left w:val="single" w:sz="4" w:space="0" w:color="auto"/>
              <w:bottom w:val="single" w:sz="4" w:space="0" w:color="auto"/>
              <w:right w:val="single" w:sz="4" w:space="0" w:color="auto"/>
            </w:tcBorders>
          </w:tcPr>
          <w:p w14:paraId="70F79F63" w14:textId="1BB0F761" w:rsidR="00E456DE" w:rsidRPr="007E55DA" w:rsidRDefault="000710AC" w:rsidP="000951BA">
            <w:pPr>
              <w:spacing w:line="276" w:lineRule="auto"/>
              <w:rPr>
                <w:rFonts w:ascii="Calibri" w:hAnsi="Calibri" w:cs="Calibri"/>
              </w:rPr>
            </w:pPr>
            <w:r>
              <w:rPr>
                <w:rFonts w:ascii="Calibri" w:hAnsi="Calibri" w:cs="Calibri"/>
              </w:rPr>
              <w:t>Complete</w:t>
            </w:r>
          </w:p>
        </w:tc>
      </w:tr>
      <w:tr w:rsidR="00E456DE" w:rsidRPr="007E55DA" w14:paraId="79D7523F" w14:textId="77777777" w:rsidTr="006649E0">
        <w:trPr>
          <w:trHeight w:val="983"/>
        </w:trPr>
        <w:tc>
          <w:tcPr>
            <w:tcW w:w="940" w:type="dxa"/>
            <w:tcBorders>
              <w:top w:val="single" w:sz="4" w:space="0" w:color="auto"/>
              <w:bottom w:val="single" w:sz="4" w:space="0" w:color="auto"/>
              <w:right w:val="single" w:sz="4" w:space="0" w:color="auto"/>
            </w:tcBorders>
          </w:tcPr>
          <w:p w14:paraId="0959C21E" w14:textId="77777777"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5378B67D" w14:textId="63368B99" w:rsidR="00E456DE" w:rsidRPr="007E55DA" w:rsidRDefault="00E456DE" w:rsidP="000951BA">
            <w:pPr>
              <w:spacing w:line="276" w:lineRule="auto"/>
              <w:rPr>
                <w:rFonts w:ascii="Calibri" w:hAnsi="Calibri" w:cs="Calibri"/>
              </w:rPr>
            </w:pPr>
            <w:r>
              <w:rPr>
                <w:rFonts w:ascii="Calibri" w:hAnsi="Calibri" w:cs="Calibri"/>
              </w:rPr>
              <w:t xml:space="preserve">Evaluate impact of the Staff Student Feedback Committees arrangements piloted in spring 2024, taking account of feedback from staff and students, and to inform the development of and planned Staff Student Feedback Committees arrangements from 2024/25. </w:t>
            </w:r>
          </w:p>
        </w:tc>
        <w:tc>
          <w:tcPr>
            <w:tcW w:w="3119" w:type="dxa"/>
            <w:tcBorders>
              <w:top w:val="single" w:sz="4" w:space="0" w:color="auto"/>
              <w:left w:val="single" w:sz="4" w:space="0" w:color="auto"/>
              <w:bottom w:val="single" w:sz="4" w:space="0" w:color="auto"/>
              <w:right w:val="single" w:sz="4" w:space="0" w:color="auto"/>
            </w:tcBorders>
          </w:tcPr>
          <w:p w14:paraId="119DDB0E" w14:textId="77777777" w:rsidR="00E456DE" w:rsidRDefault="00E456DE" w:rsidP="000951BA">
            <w:pPr>
              <w:spacing w:line="276" w:lineRule="auto"/>
              <w:rPr>
                <w:rFonts w:ascii="Calibri" w:hAnsi="Calibri" w:cs="Calibri"/>
              </w:rPr>
            </w:pPr>
            <w:r>
              <w:rPr>
                <w:rFonts w:ascii="Calibri" w:hAnsi="Calibri" w:cs="Calibri"/>
              </w:rPr>
              <w:t xml:space="preserve">Dean for Learning, Teaching and Student Experience / </w:t>
            </w:r>
          </w:p>
          <w:p w14:paraId="58FDBF16" w14:textId="1D2AE4F2" w:rsidR="00E456DE" w:rsidRDefault="00E456DE" w:rsidP="000951BA">
            <w:pPr>
              <w:spacing w:line="276" w:lineRule="auto"/>
              <w:rPr>
                <w:rFonts w:ascii="Calibri" w:hAnsi="Calibri" w:cs="Calibri"/>
              </w:rPr>
            </w:pPr>
            <w:r>
              <w:rPr>
                <w:rFonts w:ascii="Calibri" w:hAnsi="Calibri" w:cs="Calibri"/>
              </w:rPr>
              <w:t>VP Education</w:t>
            </w:r>
          </w:p>
        </w:tc>
        <w:tc>
          <w:tcPr>
            <w:tcW w:w="2126" w:type="dxa"/>
            <w:tcBorders>
              <w:top w:val="single" w:sz="4" w:space="0" w:color="auto"/>
              <w:left w:val="single" w:sz="4" w:space="0" w:color="auto"/>
              <w:bottom w:val="single" w:sz="4" w:space="0" w:color="auto"/>
              <w:right w:val="single" w:sz="4" w:space="0" w:color="auto"/>
            </w:tcBorders>
          </w:tcPr>
          <w:p w14:paraId="0E91E4DA" w14:textId="12742318" w:rsidR="00E456DE" w:rsidRPr="007E55DA" w:rsidRDefault="00E456DE" w:rsidP="000951BA">
            <w:pPr>
              <w:spacing w:line="276" w:lineRule="auto"/>
              <w:rPr>
                <w:rFonts w:ascii="Calibri" w:hAnsi="Calibri" w:cs="Calibri"/>
              </w:rPr>
            </w:pPr>
            <w:r>
              <w:rPr>
                <w:rFonts w:ascii="Calibri" w:hAnsi="Calibri" w:cs="Calibri"/>
              </w:rPr>
              <w:t>April 2024</w:t>
            </w:r>
          </w:p>
        </w:tc>
        <w:tc>
          <w:tcPr>
            <w:tcW w:w="1701" w:type="dxa"/>
            <w:tcBorders>
              <w:top w:val="single" w:sz="4" w:space="0" w:color="auto"/>
              <w:left w:val="single" w:sz="4" w:space="0" w:color="auto"/>
              <w:bottom w:val="single" w:sz="4" w:space="0" w:color="auto"/>
              <w:right w:val="single" w:sz="4" w:space="0" w:color="auto"/>
            </w:tcBorders>
          </w:tcPr>
          <w:p w14:paraId="0E053BE4" w14:textId="6AC41ECF" w:rsidR="00E456DE" w:rsidRPr="007E55DA" w:rsidRDefault="00E456DE" w:rsidP="000951BA">
            <w:pPr>
              <w:spacing w:line="276" w:lineRule="auto"/>
              <w:rPr>
                <w:rFonts w:ascii="Calibri" w:hAnsi="Calibri" w:cs="Calibri"/>
              </w:rPr>
            </w:pPr>
            <w:r>
              <w:rPr>
                <w:rFonts w:ascii="Calibri" w:hAnsi="Calibri" w:cs="Calibri"/>
              </w:rPr>
              <w:t>Complete</w:t>
            </w:r>
          </w:p>
        </w:tc>
      </w:tr>
      <w:tr w:rsidR="00E456DE" w:rsidRPr="007E55DA" w14:paraId="190D731A" w14:textId="77777777" w:rsidTr="006649E0">
        <w:trPr>
          <w:trHeight w:val="659"/>
        </w:trPr>
        <w:tc>
          <w:tcPr>
            <w:tcW w:w="940" w:type="dxa"/>
            <w:tcBorders>
              <w:top w:val="single" w:sz="4" w:space="0" w:color="auto"/>
              <w:bottom w:val="single" w:sz="4" w:space="0" w:color="auto"/>
              <w:right w:val="single" w:sz="4" w:space="0" w:color="auto"/>
            </w:tcBorders>
          </w:tcPr>
          <w:p w14:paraId="487F2BBB" w14:textId="77777777"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51BD7123" w14:textId="1D486D33" w:rsidR="00E456DE" w:rsidRPr="007E55DA" w:rsidRDefault="00E456DE" w:rsidP="000951BA">
            <w:pPr>
              <w:spacing w:line="276" w:lineRule="auto"/>
              <w:rPr>
                <w:rFonts w:ascii="Calibri" w:hAnsi="Calibri" w:cs="Calibri"/>
              </w:rPr>
            </w:pPr>
            <w:r>
              <w:rPr>
                <w:rFonts w:ascii="Calibri" w:hAnsi="Calibri" w:cs="Calibri"/>
              </w:rPr>
              <w:t>Develop the ‘Student Voice Policy’ to reflect agreed position in respect of Staff Student Feedback Committees, and associated guidance, providing clear responsibilities o</w:t>
            </w:r>
            <w:r w:rsidR="000E0144">
              <w:rPr>
                <w:rFonts w:ascii="Calibri" w:hAnsi="Calibri" w:cs="Calibri"/>
              </w:rPr>
              <w:t xml:space="preserve">f </w:t>
            </w:r>
            <w:r w:rsidR="00242B94">
              <w:rPr>
                <w:rFonts w:ascii="Calibri" w:hAnsi="Calibri" w:cs="Calibri"/>
              </w:rPr>
              <w:t xml:space="preserve">all </w:t>
            </w:r>
            <w:r>
              <w:rPr>
                <w:rFonts w:ascii="Calibri" w:hAnsi="Calibri" w:cs="Calibri"/>
              </w:rPr>
              <w:t xml:space="preserve">stakeholders.  </w:t>
            </w:r>
          </w:p>
        </w:tc>
        <w:tc>
          <w:tcPr>
            <w:tcW w:w="3119" w:type="dxa"/>
            <w:tcBorders>
              <w:top w:val="single" w:sz="4" w:space="0" w:color="auto"/>
              <w:left w:val="single" w:sz="4" w:space="0" w:color="auto"/>
              <w:bottom w:val="single" w:sz="4" w:space="0" w:color="auto"/>
              <w:right w:val="single" w:sz="4" w:space="0" w:color="auto"/>
            </w:tcBorders>
          </w:tcPr>
          <w:p w14:paraId="6BAA1B23" w14:textId="501062D2" w:rsidR="00E456DE" w:rsidRDefault="00E456DE" w:rsidP="000951BA">
            <w:pPr>
              <w:spacing w:line="276" w:lineRule="auto"/>
              <w:rPr>
                <w:rFonts w:ascii="Calibri" w:hAnsi="Calibri" w:cs="Calibri"/>
              </w:rPr>
            </w:pPr>
            <w:r>
              <w:rPr>
                <w:rFonts w:ascii="Calibri" w:hAnsi="Calibri" w:cs="Calibri"/>
              </w:rPr>
              <w:t>Dean for Learning, Teaching and Student Experience</w:t>
            </w:r>
          </w:p>
        </w:tc>
        <w:tc>
          <w:tcPr>
            <w:tcW w:w="2126" w:type="dxa"/>
            <w:tcBorders>
              <w:top w:val="single" w:sz="4" w:space="0" w:color="auto"/>
              <w:left w:val="single" w:sz="4" w:space="0" w:color="auto"/>
              <w:bottom w:val="single" w:sz="4" w:space="0" w:color="auto"/>
              <w:right w:val="single" w:sz="4" w:space="0" w:color="auto"/>
            </w:tcBorders>
          </w:tcPr>
          <w:p w14:paraId="66DC60A3" w14:textId="2896C001" w:rsidR="00E456DE" w:rsidRPr="007E55DA" w:rsidRDefault="00E456DE" w:rsidP="000951BA">
            <w:pPr>
              <w:spacing w:line="276" w:lineRule="auto"/>
              <w:rPr>
                <w:rFonts w:ascii="Calibri" w:hAnsi="Calibri" w:cs="Calibri"/>
              </w:rPr>
            </w:pPr>
            <w:r>
              <w:rPr>
                <w:rFonts w:ascii="Calibri" w:hAnsi="Calibri" w:cs="Calibri"/>
              </w:rPr>
              <w:t>June 2024</w:t>
            </w:r>
          </w:p>
        </w:tc>
        <w:tc>
          <w:tcPr>
            <w:tcW w:w="1701" w:type="dxa"/>
            <w:tcBorders>
              <w:top w:val="single" w:sz="4" w:space="0" w:color="auto"/>
              <w:left w:val="single" w:sz="4" w:space="0" w:color="auto"/>
              <w:bottom w:val="single" w:sz="4" w:space="0" w:color="auto"/>
              <w:right w:val="single" w:sz="4" w:space="0" w:color="auto"/>
            </w:tcBorders>
          </w:tcPr>
          <w:p w14:paraId="2F743B23" w14:textId="38805623" w:rsidR="00E456DE" w:rsidRPr="007E55DA" w:rsidRDefault="00E456DE" w:rsidP="000951BA">
            <w:pPr>
              <w:spacing w:line="276" w:lineRule="auto"/>
              <w:rPr>
                <w:rFonts w:ascii="Calibri" w:hAnsi="Calibri" w:cs="Calibri"/>
              </w:rPr>
            </w:pPr>
            <w:r>
              <w:rPr>
                <w:rFonts w:ascii="Calibri" w:hAnsi="Calibri" w:cs="Calibri"/>
              </w:rPr>
              <w:t>Complete</w:t>
            </w:r>
          </w:p>
        </w:tc>
      </w:tr>
      <w:tr w:rsidR="00E456DE" w:rsidRPr="007E55DA" w14:paraId="7F90DA8B" w14:textId="77777777" w:rsidTr="006649E0">
        <w:trPr>
          <w:trHeight w:val="659"/>
        </w:trPr>
        <w:tc>
          <w:tcPr>
            <w:tcW w:w="940" w:type="dxa"/>
            <w:tcBorders>
              <w:top w:val="single" w:sz="4" w:space="0" w:color="auto"/>
              <w:bottom w:val="single" w:sz="4" w:space="0" w:color="auto"/>
              <w:right w:val="single" w:sz="4" w:space="0" w:color="auto"/>
            </w:tcBorders>
          </w:tcPr>
          <w:p w14:paraId="3C7E8533" w14:textId="77777777" w:rsidR="00E456DE" w:rsidRPr="000938D8" w:rsidRDefault="00E456DE" w:rsidP="000951BA">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5CC8BE22" w14:textId="28B4CE5C" w:rsidR="00E456DE" w:rsidRDefault="00E456DE" w:rsidP="000951BA">
            <w:pPr>
              <w:spacing w:line="276" w:lineRule="auto"/>
              <w:rPr>
                <w:rFonts w:ascii="Calibri" w:hAnsi="Calibri" w:cs="Calibri"/>
              </w:rPr>
            </w:pPr>
            <w:r>
              <w:rPr>
                <w:rFonts w:ascii="Calibri" w:hAnsi="Calibri" w:cs="Calibri"/>
              </w:rPr>
              <w:t xml:space="preserve">Create an area within the Canvas template to consistently hold previous and current feedback from students, and details on how feedback has informed module development. </w:t>
            </w:r>
          </w:p>
        </w:tc>
        <w:tc>
          <w:tcPr>
            <w:tcW w:w="3119" w:type="dxa"/>
            <w:tcBorders>
              <w:top w:val="single" w:sz="4" w:space="0" w:color="auto"/>
              <w:left w:val="single" w:sz="4" w:space="0" w:color="auto"/>
              <w:bottom w:val="single" w:sz="4" w:space="0" w:color="auto"/>
              <w:right w:val="single" w:sz="4" w:space="0" w:color="auto"/>
            </w:tcBorders>
          </w:tcPr>
          <w:p w14:paraId="1C32F891" w14:textId="1C2735C4" w:rsidR="00E456DE" w:rsidRDefault="00E456DE" w:rsidP="000951BA">
            <w:pPr>
              <w:spacing w:line="276" w:lineRule="auto"/>
              <w:rPr>
                <w:rFonts w:ascii="Calibri" w:hAnsi="Calibri" w:cs="Calibri"/>
              </w:rPr>
            </w:pPr>
            <w:r>
              <w:rPr>
                <w:rFonts w:ascii="Calibri" w:hAnsi="Calibri" w:cs="Calibri"/>
              </w:rPr>
              <w:t>Dean for Learning, Teaching and Student Experience / Teaching Enhancement Team</w:t>
            </w:r>
          </w:p>
        </w:tc>
        <w:tc>
          <w:tcPr>
            <w:tcW w:w="2126" w:type="dxa"/>
            <w:tcBorders>
              <w:top w:val="single" w:sz="4" w:space="0" w:color="auto"/>
              <w:left w:val="single" w:sz="4" w:space="0" w:color="auto"/>
              <w:bottom w:val="single" w:sz="4" w:space="0" w:color="auto"/>
              <w:right w:val="single" w:sz="4" w:space="0" w:color="auto"/>
            </w:tcBorders>
          </w:tcPr>
          <w:p w14:paraId="6404A9CC" w14:textId="5D348098" w:rsidR="00E456DE" w:rsidRDefault="00E456DE" w:rsidP="000951BA">
            <w:pPr>
              <w:spacing w:line="276" w:lineRule="auto"/>
              <w:rPr>
                <w:rFonts w:ascii="Calibri" w:hAnsi="Calibri" w:cs="Calibri"/>
              </w:rPr>
            </w:pPr>
            <w:r>
              <w:rPr>
                <w:rFonts w:ascii="Calibri" w:hAnsi="Calibri" w:cs="Calibri"/>
              </w:rPr>
              <w:t>June 2024</w:t>
            </w:r>
          </w:p>
        </w:tc>
        <w:tc>
          <w:tcPr>
            <w:tcW w:w="1701" w:type="dxa"/>
            <w:tcBorders>
              <w:top w:val="single" w:sz="4" w:space="0" w:color="auto"/>
              <w:left w:val="single" w:sz="4" w:space="0" w:color="auto"/>
              <w:bottom w:val="single" w:sz="4" w:space="0" w:color="auto"/>
              <w:right w:val="single" w:sz="4" w:space="0" w:color="auto"/>
            </w:tcBorders>
          </w:tcPr>
          <w:p w14:paraId="21F2ED93" w14:textId="08047937" w:rsidR="00E456DE" w:rsidRDefault="00E456DE" w:rsidP="000951BA">
            <w:pPr>
              <w:spacing w:line="276" w:lineRule="auto"/>
              <w:rPr>
                <w:rFonts w:ascii="Calibri" w:hAnsi="Calibri" w:cs="Calibri"/>
              </w:rPr>
            </w:pPr>
            <w:r>
              <w:rPr>
                <w:rFonts w:ascii="Calibri" w:hAnsi="Calibri" w:cs="Calibri"/>
              </w:rPr>
              <w:t>Complete</w:t>
            </w:r>
          </w:p>
        </w:tc>
      </w:tr>
    </w:tbl>
    <w:p w14:paraId="3EBE8B10" w14:textId="77777777" w:rsidR="006F0FE5" w:rsidRDefault="006F0FE5">
      <w:r>
        <w:br w:type="page"/>
      </w:r>
    </w:p>
    <w:tbl>
      <w:tblPr>
        <w:tblStyle w:val="TableGrid"/>
        <w:tblW w:w="15706" w:type="dxa"/>
        <w:tblInd w:w="-147" w:type="dxa"/>
        <w:tblLook w:val="04A0" w:firstRow="1" w:lastRow="0" w:firstColumn="1" w:lastColumn="0" w:noHBand="0" w:noVBand="1"/>
      </w:tblPr>
      <w:tblGrid>
        <w:gridCol w:w="940"/>
        <w:gridCol w:w="7820"/>
        <w:gridCol w:w="3119"/>
        <w:gridCol w:w="2126"/>
        <w:gridCol w:w="1701"/>
      </w:tblGrid>
      <w:tr w:rsidR="00E456DE" w:rsidRPr="007E55DA" w14:paraId="171B9945" w14:textId="77777777" w:rsidTr="006649E0">
        <w:trPr>
          <w:trHeight w:val="659"/>
        </w:trPr>
        <w:tc>
          <w:tcPr>
            <w:tcW w:w="940" w:type="dxa"/>
            <w:tcBorders>
              <w:top w:val="single" w:sz="4" w:space="0" w:color="auto"/>
              <w:bottom w:val="single" w:sz="4" w:space="0" w:color="auto"/>
              <w:right w:val="single" w:sz="4" w:space="0" w:color="auto"/>
            </w:tcBorders>
          </w:tcPr>
          <w:p w14:paraId="0D5B5655" w14:textId="6235A317" w:rsidR="00E456DE" w:rsidRPr="000938D8" w:rsidRDefault="00E456DE" w:rsidP="008F1069">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040BA8BD" w14:textId="0CCB04B0" w:rsidR="00E456DE" w:rsidRDefault="00E456DE" w:rsidP="008F1069">
            <w:pPr>
              <w:spacing w:line="276" w:lineRule="auto"/>
              <w:rPr>
                <w:rFonts w:ascii="Calibri" w:hAnsi="Calibri" w:cs="Calibri"/>
              </w:rPr>
            </w:pPr>
            <w:r>
              <w:rPr>
                <w:rFonts w:ascii="Calibri" w:hAnsi="Calibri" w:cs="Calibri"/>
              </w:rPr>
              <w:t xml:space="preserve">Review and revise access permissions in the module evaluation system for key roles to enable consistent oversight at all relevant levels, of feedback and the feedback loop. </w:t>
            </w:r>
          </w:p>
        </w:tc>
        <w:tc>
          <w:tcPr>
            <w:tcW w:w="3119" w:type="dxa"/>
            <w:tcBorders>
              <w:top w:val="single" w:sz="4" w:space="0" w:color="auto"/>
              <w:left w:val="single" w:sz="4" w:space="0" w:color="auto"/>
              <w:bottom w:val="single" w:sz="4" w:space="0" w:color="auto"/>
              <w:right w:val="single" w:sz="4" w:space="0" w:color="auto"/>
            </w:tcBorders>
          </w:tcPr>
          <w:p w14:paraId="4E55146E" w14:textId="072213F3" w:rsidR="00E456DE" w:rsidRDefault="00E456DE" w:rsidP="008F1069">
            <w:pPr>
              <w:spacing w:line="276" w:lineRule="auto"/>
              <w:rPr>
                <w:rFonts w:ascii="Calibri" w:hAnsi="Calibri" w:cs="Calibri"/>
              </w:rPr>
            </w:pPr>
            <w:r>
              <w:rPr>
                <w:rFonts w:ascii="Calibri" w:hAnsi="Calibri" w:cs="Calibri"/>
              </w:rPr>
              <w:t>Head of Student Systems and Data / Dean for Learning, Teaching and Student Experience</w:t>
            </w:r>
          </w:p>
        </w:tc>
        <w:tc>
          <w:tcPr>
            <w:tcW w:w="2126" w:type="dxa"/>
            <w:tcBorders>
              <w:top w:val="single" w:sz="4" w:space="0" w:color="auto"/>
              <w:left w:val="single" w:sz="4" w:space="0" w:color="auto"/>
              <w:bottom w:val="single" w:sz="4" w:space="0" w:color="auto"/>
              <w:right w:val="single" w:sz="4" w:space="0" w:color="auto"/>
            </w:tcBorders>
          </w:tcPr>
          <w:p w14:paraId="0C443C2C" w14:textId="417A201D" w:rsidR="00E456DE" w:rsidRDefault="00E456DE" w:rsidP="008F1069">
            <w:pPr>
              <w:spacing w:line="276" w:lineRule="auto"/>
              <w:rPr>
                <w:rFonts w:ascii="Calibri" w:hAnsi="Calibri" w:cs="Calibri"/>
              </w:rPr>
            </w:pPr>
            <w:r>
              <w:rPr>
                <w:rFonts w:ascii="Calibri" w:hAnsi="Calibri" w:cs="Calibri"/>
              </w:rPr>
              <w:t>June 2024</w:t>
            </w:r>
          </w:p>
        </w:tc>
        <w:tc>
          <w:tcPr>
            <w:tcW w:w="1701" w:type="dxa"/>
            <w:tcBorders>
              <w:top w:val="single" w:sz="4" w:space="0" w:color="auto"/>
              <w:left w:val="single" w:sz="4" w:space="0" w:color="auto"/>
              <w:bottom w:val="single" w:sz="4" w:space="0" w:color="auto"/>
              <w:right w:val="single" w:sz="4" w:space="0" w:color="auto"/>
            </w:tcBorders>
          </w:tcPr>
          <w:p w14:paraId="30C52B51" w14:textId="7BF2F8E6" w:rsidR="00E456DE" w:rsidRDefault="00E456DE" w:rsidP="008F1069">
            <w:pPr>
              <w:spacing w:line="276" w:lineRule="auto"/>
              <w:rPr>
                <w:rFonts w:ascii="Calibri" w:hAnsi="Calibri" w:cs="Calibri"/>
              </w:rPr>
            </w:pPr>
            <w:r>
              <w:rPr>
                <w:rFonts w:ascii="Calibri" w:hAnsi="Calibri" w:cs="Calibri"/>
              </w:rPr>
              <w:t>Complete</w:t>
            </w:r>
          </w:p>
        </w:tc>
      </w:tr>
      <w:tr w:rsidR="00C62D3A" w:rsidRPr="007E55DA" w14:paraId="33E67CCA" w14:textId="77777777" w:rsidTr="006649E0">
        <w:trPr>
          <w:trHeight w:val="659"/>
        </w:trPr>
        <w:tc>
          <w:tcPr>
            <w:tcW w:w="940" w:type="dxa"/>
            <w:tcBorders>
              <w:top w:val="single" w:sz="4" w:space="0" w:color="auto"/>
              <w:bottom w:val="single" w:sz="4" w:space="0" w:color="auto"/>
              <w:right w:val="single" w:sz="4" w:space="0" w:color="auto"/>
            </w:tcBorders>
          </w:tcPr>
          <w:p w14:paraId="512BB71E" w14:textId="77777777" w:rsidR="00C62D3A" w:rsidRPr="000938D8" w:rsidRDefault="00C62D3A" w:rsidP="008F1069">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151CE14D" w14:textId="6B9A3DA4" w:rsidR="00C62D3A" w:rsidRDefault="00A71D07" w:rsidP="008F1069">
            <w:pPr>
              <w:spacing w:line="276" w:lineRule="auto"/>
              <w:rPr>
                <w:rFonts w:ascii="Calibri" w:hAnsi="Calibri" w:cs="Calibri"/>
              </w:rPr>
            </w:pPr>
            <w:r w:rsidRPr="002930C6">
              <w:rPr>
                <w:rFonts w:ascii="Calibri" w:hAnsi="Calibri" w:cs="Calibri"/>
              </w:rPr>
              <w:t xml:space="preserve">Develop and agree </w:t>
            </w:r>
            <w:r w:rsidR="007944B4" w:rsidRPr="002930C6">
              <w:rPr>
                <w:rFonts w:ascii="Calibri" w:hAnsi="Calibri" w:cs="Calibri"/>
              </w:rPr>
              <w:t>i</w:t>
            </w:r>
            <w:r w:rsidR="00BD0C2A" w:rsidRPr="002930C6">
              <w:rPr>
                <w:rFonts w:ascii="Calibri" w:hAnsi="Calibri" w:cs="Calibri"/>
              </w:rPr>
              <w:t xml:space="preserve">nstitutional </w:t>
            </w:r>
            <w:r w:rsidR="007944B4" w:rsidRPr="002930C6">
              <w:rPr>
                <w:rFonts w:ascii="Calibri" w:hAnsi="Calibri" w:cs="Calibri"/>
              </w:rPr>
              <w:t>requirements for the consistent dissemination of information from Staff Student Feedback Committees</w:t>
            </w:r>
            <w:r w:rsidR="00BD0C2A" w:rsidRPr="002930C6">
              <w:rPr>
                <w:rFonts w:ascii="Calibri" w:hAnsi="Calibri" w:cs="Calibri"/>
              </w:rPr>
              <w:t>.</w:t>
            </w:r>
          </w:p>
        </w:tc>
        <w:tc>
          <w:tcPr>
            <w:tcW w:w="3119" w:type="dxa"/>
            <w:tcBorders>
              <w:top w:val="single" w:sz="4" w:space="0" w:color="auto"/>
              <w:left w:val="single" w:sz="4" w:space="0" w:color="auto"/>
              <w:bottom w:val="single" w:sz="4" w:space="0" w:color="auto"/>
              <w:right w:val="single" w:sz="4" w:space="0" w:color="auto"/>
            </w:tcBorders>
          </w:tcPr>
          <w:p w14:paraId="0FFC13ED" w14:textId="75876E64" w:rsidR="00C62D3A" w:rsidRDefault="00BD0C2A" w:rsidP="008F1069">
            <w:pPr>
              <w:spacing w:line="276" w:lineRule="auto"/>
              <w:rPr>
                <w:rFonts w:ascii="Calibri" w:hAnsi="Calibri" w:cs="Calibri"/>
              </w:rPr>
            </w:pPr>
            <w:r>
              <w:rPr>
                <w:rFonts w:ascii="Calibri" w:hAnsi="Calibri" w:cs="Calibri"/>
              </w:rPr>
              <w:t>Dean for Learning, Teaching and Student Experience</w:t>
            </w:r>
          </w:p>
        </w:tc>
        <w:tc>
          <w:tcPr>
            <w:tcW w:w="2126" w:type="dxa"/>
            <w:tcBorders>
              <w:top w:val="single" w:sz="4" w:space="0" w:color="auto"/>
              <w:left w:val="single" w:sz="4" w:space="0" w:color="auto"/>
              <w:bottom w:val="single" w:sz="4" w:space="0" w:color="auto"/>
              <w:right w:val="single" w:sz="4" w:space="0" w:color="auto"/>
            </w:tcBorders>
          </w:tcPr>
          <w:p w14:paraId="5495337A" w14:textId="13D50B1C" w:rsidR="00C62D3A" w:rsidRDefault="00BD0C2A" w:rsidP="008F1069">
            <w:pPr>
              <w:spacing w:line="276" w:lineRule="auto"/>
              <w:rPr>
                <w:rFonts w:ascii="Calibri" w:hAnsi="Calibri" w:cs="Calibri"/>
              </w:rPr>
            </w:pPr>
            <w:r>
              <w:rPr>
                <w:rFonts w:ascii="Calibri" w:hAnsi="Calibri" w:cs="Calibri"/>
              </w:rPr>
              <w:t>September 2024</w:t>
            </w:r>
          </w:p>
        </w:tc>
        <w:tc>
          <w:tcPr>
            <w:tcW w:w="1701" w:type="dxa"/>
            <w:tcBorders>
              <w:top w:val="single" w:sz="4" w:space="0" w:color="auto"/>
              <w:left w:val="single" w:sz="4" w:space="0" w:color="auto"/>
              <w:bottom w:val="single" w:sz="4" w:space="0" w:color="auto"/>
              <w:right w:val="single" w:sz="4" w:space="0" w:color="auto"/>
            </w:tcBorders>
          </w:tcPr>
          <w:p w14:paraId="7AE4BAFD" w14:textId="46149A2E" w:rsidR="00C62D3A" w:rsidRDefault="00BD0C2A" w:rsidP="008F1069">
            <w:pPr>
              <w:spacing w:line="276" w:lineRule="auto"/>
              <w:rPr>
                <w:rFonts w:ascii="Calibri" w:hAnsi="Calibri" w:cs="Calibri"/>
              </w:rPr>
            </w:pPr>
            <w:r>
              <w:rPr>
                <w:rFonts w:ascii="Calibri" w:hAnsi="Calibri" w:cs="Calibri"/>
              </w:rPr>
              <w:t>In progress</w:t>
            </w:r>
          </w:p>
        </w:tc>
      </w:tr>
      <w:tr w:rsidR="00E456DE" w:rsidRPr="007E55DA" w14:paraId="2C9728C6" w14:textId="77777777" w:rsidTr="006649E0">
        <w:trPr>
          <w:trHeight w:val="983"/>
        </w:trPr>
        <w:tc>
          <w:tcPr>
            <w:tcW w:w="940" w:type="dxa"/>
            <w:tcBorders>
              <w:top w:val="single" w:sz="4" w:space="0" w:color="auto"/>
              <w:bottom w:val="single" w:sz="4" w:space="0" w:color="auto"/>
              <w:right w:val="single" w:sz="4" w:space="0" w:color="auto"/>
            </w:tcBorders>
          </w:tcPr>
          <w:p w14:paraId="2EEEB4A5" w14:textId="78DE4DF4" w:rsidR="00E456DE" w:rsidRPr="000938D8" w:rsidRDefault="00E456DE" w:rsidP="008F1069">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1694D9AA" w14:textId="57F438A8" w:rsidR="00E456DE" w:rsidRPr="007E55DA" w:rsidRDefault="00E456DE" w:rsidP="008F1069">
            <w:pPr>
              <w:spacing w:line="276" w:lineRule="auto"/>
              <w:rPr>
                <w:rFonts w:ascii="Calibri" w:hAnsi="Calibri" w:cs="Calibri"/>
              </w:rPr>
            </w:pPr>
            <w:r>
              <w:rPr>
                <w:rFonts w:ascii="Calibri" w:hAnsi="Calibri" w:cs="Calibri"/>
              </w:rPr>
              <w:t xml:space="preserve">Update </w:t>
            </w:r>
            <w:r w:rsidR="00DC4FC4">
              <w:rPr>
                <w:rFonts w:ascii="Calibri" w:hAnsi="Calibri" w:cs="Calibri"/>
              </w:rPr>
              <w:t xml:space="preserve">and issue </w:t>
            </w:r>
            <w:r>
              <w:rPr>
                <w:rFonts w:ascii="Calibri" w:hAnsi="Calibri" w:cs="Calibri"/>
              </w:rPr>
              <w:t xml:space="preserve">the Terms of Reference and annual schedule of business for Faculty Learning </w:t>
            </w:r>
            <w:r w:rsidR="005A1E69">
              <w:rPr>
                <w:rFonts w:ascii="Calibri" w:hAnsi="Calibri" w:cs="Calibri"/>
              </w:rPr>
              <w:t xml:space="preserve">and </w:t>
            </w:r>
            <w:r>
              <w:rPr>
                <w:rFonts w:ascii="Calibri" w:hAnsi="Calibri" w:cs="Calibri"/>
              </w:rPr>
              <w:t xml:space="preserve">Teaching Committees to ensure there is consistent governance and oversight of the </w:t>
            </w:r>
            <w:r w:rsidR="00D036BE">
              <w:rPr>
                <w:rFonts w:ascii="Calibri" w:hAnsi="Calibri" w:cs="Calibri"/>
              </w:rPr>
              <w:t>Student Feedback Committees</w:t>
            </w:r>
            <w:r>
              <w:rPr>
                <w:rFonts w:ascii="Calibri" w:hAnsi="Calibri" w:cs="Calibri"/>
              </w:rPr>
              <w:t xml:space="preserve"> arrangements</w:t>
            </w:r>
            <w:r w:rsidR="00D036BE">
              <w:rPr>
                <w:rFonts w:ascii="Calibri" w:hAnsi="Calibri" w:cs="Calibri"/>
              </w:rPr>
              <w:t>, operation</w:t>
            </w:r>
            <w:r w:rsidR="005A1E69">
              <w:rPr>
                <w:rFonts w:ascii="Calibri" w:hAnsi="Calibri" w:cs="Calibri"/>
              </w:rPr>
              <w:t xml:space="preserve">, </w:t>
            </w:r>
            <w:r w:rsidR="00141A58">
              <w:rPr>
                <w:rFonts w:ascii="Calibri" w:hAnsi="Calibri" w:cs="Calibri"/>
              </w:rPr>
              <w:t xml:space="preserve">dissemination of </w:t>
            </w:r>
            <w:r w:rsidR="005A1E69">
              <w:rPr>
                <w:rFonts w:ascii="Calibri" w:hAnsi="Calibri" w:cs="Calibri"/>
              </w:rPr>
              <w:t>outputs and actions</w:t>
            </w:r>
            <w:r>
              <w:rPr>
                <w:rFonts w:ascii="Calibri" w:hAnsi="Calibri" w:cs="Calibri"/>
              </w:rPr>
              <w:t>, and consistent closing the feedback loop.</w:t>
            </w:r>
          </w:p>
        </w:tc>
        <w:tc>
          <w:tcPr>
            <w:tcW w:w="3119" w:type="dxa"/>
            <w:tcBorders>
              <w:top w:val="single" w:sz="4" w:space="0" w:color="auto"/>
              <w:left w:val="single" w:sz="4" w:space="0" w:color="auto"/>
              <w:bottom w:val="single" w:sz="4" w:space="0" w:color="auto"/>
              <w:right w:val="single" w:sz="4" w:space="0" w:color="auto"/>
            </w:tcBorders>
          </w:tcPr>
          <w:p w14:paraId="676EF951" w14:textId="7B0F43B5" w:rsidR="00E456DE" w:rsidRDefault="00E456DE" w:rsidP="008F1069">
            <w:pPr>
              <w:spacing w:line="276" w:lineRule="auto"/>
              <w:rPr>
                <w:rFonts w:ascii="Calibri" w:hAnsi="Calibri" w:cs="Calibri"/>
              </w:rPr>
            </w:pPr>
            <w:r>
              <w:rPr>
                <w:rFonts w:ascii="Calibri" w:hAnsi="Calibri" w:cs="Calibri"/>
              </w:rPr>
              <w:t>Academic Registrar / Dean for Learning, Teaching and Student Experience</w:t>
            </w:r>
          </w:p>
        </w:tc>
        <w:tc>
          <w:tcPr>
            <w:tcW w:w="2126" w:type="dxa"/>
            <w:tcBorders>
              <w:top w:val="single" w:sz="4" w:space="0" w:color="auto"/>
              <w:left w:val="single" w:sz="4" w:space="0" w:color="auto"/>
              <w:bottom w:val="single" w:sz="4" w:space="0" w:color="auto"/>
              <w:right w:val="single" w:sz="4" w:space="0" w:color="auto"/>
            </w:tcBorders>
          </w:tcPr>
          <w:p w14:paraId="14AC60FF" w14:textId="1E728C30" w:rsidR="00E456DE" w:rsidRPr="007E55DA" w:rsidRDefault="00851F62" w:rsidP="008F1069">
            <w:pPr>
              <w:spacing w:line="276" w:lineRule="auto"/>
              <w:rPr>
                <w:rFonts w:ascii="Calibri" w:hAnsi="Calibri" w:cs="Calibri"/>
              </w:rPr>
            </w:pPr>
            <w:r>
              <w:rPr>
                <w:rFonts w:ascii="Calibri" w:hAnsi="Calibri" w:cs="Calibri"/>
              </w:rPr>
              <w:t xml:space="preserve">September </w:t>
            </w:r>
            <w:r w:rsidR="00E456DE">
              <w:rPr>
                <w:rFonts w:ascii="Calibri" w:hAnsi="Calibri" w:cs="Calibri"/>
              </w:rPr>
              <w:t>2024</w:t>
            </w:r>
          </w:p>
        </w:tc>
        <w:tc>
          <w:tcPr>
            <w:tcW w:w="1701" w:type="dxa"/>
            <w:tcBorders>
              <w:top w:val="single" w:sz="4" w:space="0" w:color="auto"/>
              <w:left w:val="single" w:sz="4" w:space="0" w:color="auto"/>
              <w:bottom w:val="single" w:sz="4" w:space="0" w:color="auto"/>
              <w:right w:val="single" w:sz="4" w:space="0" w:color="auto"/>
            </w:tcBorders>
          </w:tcPr>
          <w:p w14:paraId="3411DEA5" w14:textId="246E5578" w:rsidR="00E456DE" w:rsidRPr="007E55DA" w:rsidRDefault="00851F62" w:rsidP="008F1069">
            <w:pPr>
              <w:spacing w:line="276" w:lineRule="auto"/>
              <w:rPr>
                <w:rFonts w:ascii="Calibri" w:hAnsi="Calibri" w:cs="Calibri"/>
              </w:rPr>
            </w:pPr>
            <w:r>
              <w:rPr>
                <w:rFonts w:ascii="Calibri" w:hAnsi="Calibri" w:cs="Calibri"/>
              </w:rPr>
              <w:t>In progress</w:t>
            </w:r>
          </w:p>
        </w:tc>
      </w:tr>
      <w:tr w:rsidR="00E456DE" w:rsidRPr="007E55DA" w14:paraId="43988745" w14:textId="77777777" w:rsidTr="006649E0">
        <w:trPr>
          <w:trHeight w:val="983"/>
        </w:trPr>
        <w:tc>
          <w:tcPr>
            <w:tcW w:w="940" w:type="dxa"/>
            <w:tcBorders>
              <w:top w:val="single" w:sz="4" w:space="0" w:color="auto"/>
              <w:bottom w:val="single" w:sz="4" w:space="0" w:color="auto"/>
              <w:right w:val="single" w:sz="4" w:space="0" w:color="auto"/>
            </w:tcBorders>
          </w:tcPr>
          <w:p w14:paraId="0A464D45" w14:textId="77777777" w:rsidR="00E456DE" w:rsidRPr="000938D8" w:rsidRDefault="00E456DE" w:rsidP="008F1069">
            <w:pPr>
              <w:pStyle w:val="ListParagraph"/>
              <w:numPr>
                <w:ilvl w:val="0"/>
                <w:numId w:val="3"/>
              </w:numPr>
              <w:spacing w:line="276" w:lineRule="auto"/>
              <w:rPr>
                <w:rFonts w:ascii="Calibri" w:hAnsi="Calibri" w:cs="Calibri"/>
              </w:rPr>
            </w:pPr>
          </w:p>
        </w:tc>
        <w:tc>
          <w:tcPr>
            <w:tcW w:w="7820" w:type="dxa"/>
            <w:tcBorders>
              <w:top w:val="single" w:sz="4" w:space="0" w:color="auto"/>
              <w:left w:val="single" w:sz="4" w:space="0" w:color="auto"/>
              <w:bottom w:val="single" w:sz="4" w:space="0" w:color="auto"/>
              <w:right w:val="single" w:sz="4" w:space="0" w:color="auto"/>
            </w:tcBorders>
          </w:tcPr>
          <w:p w14:paraId="460F1719" w14:textId="488B9DFF" w:rsidR="00E456DE" w:rsidRPr="007E55DA" w:rsidRDefault="00695720" w:rsidP="008F1069">
            <w:pPr>
              <w:spacing w:line="276" w:lineRule="auto"/>
              <w:rPr>
                <w:rFonts w:ascii="Calibri" w:hAnsi="Calibri" w:cs="Calibri"/>
              </w:rPr>
            </w:pPr>
            <w:r>
              <w:rPr>
                <w:rFonts w:ascii="Calibri" w:hAnsi="Calibri" w:cs="Calibri"/>
              </w:rPr>
              <w:t xml:space="preserve">Review </w:t>
            </w:r>
            <w:r w:rsidR="00FE576A">
              <w:rPr>
                <w:rFonts w:ascii="Calibri" w:hAnsi="Calibri" w:cs="Calibri"/>
              </w:rPr>
              <w:t xml:space="preserve">and develop </w:t>
            </w:r>
            <w:r w:rsidR="00E456DE">
              <w:rPr>
                <w:rFonts w:ascii="Calibri" w:hAnsi="Calibri" w:cs="Calibri"/>
              </w:rPr>
              <w:t>module evaluation</w:t>
            </w:r>
            <w:r w:rsidR="00FE576A">
              <w:rPr>
                <w:rFonts w:ascii="Calibri" w:hAnsi="Calibri" w:cs="Calibri"/>
              </w:rPr>
              <w:t xml:space="preserve"> data </w:t>
            </w:r>
            <w:r w:rsidR="00FE576A" w:rsidRPr="006C4FDB">
              <w:rPr>
                <w:rFonts w:ascii="Calibri" w:hAnsi="Calibri" w:cs="Calibri"/>
              </w:rPr>
              <w:t xml:space="preserve">reporting </w:t>
            </w:r>
            <w:r w:rsidR="00B15F73" w:rsidRPr="006C4FDB">
              <w:rPr>
                <w:rFonts w:ascii="Calibri" w:hAnsi="Calibri" w:cs="Calibri"/>
              </w:rPr>
              <w:t xml:space="preserve">on a continuing basis </w:t>
            </w:r>
            <w:r w:rsidR="00FE576A" w:rsidRPr="006C4FDB">
              <w:rPr>
                <w:rFonts w:ascii="Calibri" w:hAnsi="Calibri" w:cs="Calibri"/>
              </w:rPr>
              <w:t>to seek</w:t>
            </w:r>
            <w:r w:rsidR="00FE576A">
              <w:rPr>
                <w:rFonts w:ascii="Calibri" w:hAnsi="Calibri" w:cs="Calibri"/>
              </w:rPr>
              <w:t xml:space="preserve"> to support and enable </w:t>
            </w:r>
            <w:r w:rsidR="0021196C">
              <w:rPr>
                <w:rFonts w:ascii="Calibri" w:hAnsi="Calibri" w:cs="Calibri"/>
              </w:rPr>
              <w:t>oversight of feedback and follow up to close the feedback loop</w:t>
            </w:r>
            <w:r w:rsidR="00E456DE">
              <w:rPr>
                <w:rFonts w:ascii="Calibri" w:hAnsi="Calibri" w:cs="Calibri"/>
              </w:rPr>
              <w:t xml:space="preserve">. </w:t>
            </w:r>
          </w:p>
        </w:tc>
        <w:tc>
          <w:tcPr>
            <w:tcW w:w="3119" w:type="dxa"/>
            <w:tcBorders>
              <w:top w:val="single" w:sz="4" w:space="0" w:color="auto"/>
              <w:left w:val="single" w:sz="4" w:space="0" w:color="auto"/>
              <w:bottom w:val="single" w:sz="4" w:space="0" w:color="auto"/>
              <w:right w:val="single" w:sz="4" w:space="0" w:color="auto"/>
            </w:tcBorders>
          </w:tcPr>
          <w:p w14:paraId="4BF5FB6A" w14:textId="71347C6E" w:rsidR="00E456DE" w:rsidRDefault="00E456DE" w:rsidP="008F1069">
            <w:pPr>
              <w:spacing w:line="276" w:lineRule="auto"/>
              <w:rPr>
                <w:rFonts w:ascii="Calibri" w:hAnsi="Calibri" w:cs="Calibri"/>
              </w:rPr>
            </w:pPr>
            <w:r>
              <w:rPr>
                <w:rFonts w:ascii="Calibri" w:hAnsi="Calibri" w:cs="Calibri"/>
              </w:rPr>
              <w:t>Student Experience and Insight Officer / Head of Student Systems and Data</w:t>
            </w:r>
          </w:p>
        </w:tc>
        <w:tc>
          <w:tcPr>
            <w:tcW w:w="2126" w:type="dxa"/>
            <w:tcBorders>
              <w:top w:val="single" w:sz="4" w:space="0" w:color="auto"/>
              <w:left w:val="single" w:sz="4" w:space="0" w:color="auto"/>
              <w:bottom w:val="single" w:sz="4" w:space="0" w:color="auto"/>
              <w:right w:val="single" w:sz="4" w:space="0" w:color="auto"/>
            </w:tcBorders>
          </w:tcPr>
          <w:p w14:paraId="3B9BAA3D" w14:textId="79D4E5F2" w:rsidR="00E456DE" w:rsidRPr="007E55DA" w:rsidRDefault="00E456DE" w:rsidP="008F1069">
            <w:pPr>
              <w:spacing w:line="276" w:lineRule="auto"/>
              <w:rPr>
                <w:rFonts w:ascii="Calibri" w:hAnsi="Calibri" w:cs="Calibri"/>
              </w:rPr>
            </w:pPr>
            <w:r>
              <w:rPr>
                <w:rFonts w:ascii="Calibri" w:hAnsi="Calibri" w:cs="Calibri"/>
              </w:rPr>
              <w:t xml:space="preserve">From </w:t>
            </w:r>
            <w:r w:rsidR="00851F62">
              <w:rPr>
                <w:rFonts w:ascii="Calibri" w:hAnsi="Calibri" w:cs="Calibri"/>
              </w:rPr>
              <w:t>September</w:t>
            </w:r>
            <w:r>
              <w:rPr>
                <w:rFonts w:ascii="Calibri" w:hAnsi="Calibri" w:cs="Calibri"/>
              </w:rPr>
              <w:t xml:space="preserve"> 2024</w:t>
            </w:r>
          </w:p>
        </w:tc>
        <w:tc>
          <w:tcPr>
            <w:tcW w:w="1701" w:type="dxa"/>
            <w:tcBorders>
              <w:top w:val="single" w:sz="4" w:space="0" w:color="auto"/>
              <w:left w:val="single" w:sz="4" w:space="0" w:color="auto"/>
              <w:bottom w:val="single" w:sz="4" w:space="0" w:color="auto"/>
              <w:right w:val="single" w:sz="4" w:space="0" w:color="auto"/>
            </w:tcBorders>
          </w:tcPr>
          <w:p w14:paraId="5DDEB37C" w14:textId="782234EC" w:rsidR="00E456DE" w:rsidRPr="007E55DA" w:rsidRDefault="00851F62" w:rsidP="008F1069">
            <w:pPr>
              <w:spacing w:line="276" w:lineRule="auto"/>
              <w:rPr>
                <w:rFonts w:ascii="Calibri" w:hAnsi="Calibri" w:cs="Calibri"/>
              </w:rPr>
            </w:pPr>
            <w:r>
              <w:rPr>
                <w:rFonts w:ascii="Calibri" w:hAnsi="Calibri" w:cs="Calibri"/>
              </w:rPr>
              <w:t>In progress</w:t>
            </w:r>
          </w:p>
        </w:tc>
      </w:tr>
    </w:tbl>
    <w:p w14:paraId="2823D2D3" w14:textId="7FF55688" w:rsidR="001013EC" w:rsidRDefault="001013EC"/>
    <w:p w14:paraId="0205969F" w14:textId="3BA1F8A5" w:rsidR="0090143A" w:rsidRDefault="0090143A">
      <w:r>
        <w:br w:type="page"/>
      </w:r>
    </w:p>
    <w:p w14:paraId="4FCCAFAD" w14:textId="77777777" w:rsidR="001013EC" w:rsidRDefault="001013EC"/>
    <w:p w14:paraId="3B66CC55" w14:textId="021BA7C3" w:rsidR="006F0FE5" w:rsidRPr="00DD4D45" w:rsidRDefault="006F0FE5" w:rsidP="0090143A">
      <w:pPr>
        <w:ind w:left="-142"/>
        <w:rPr>
          <w:rFonts w:ascii="Calibri" w:hAnsi="Calibri" w:cs="Calibri"/>
        </w:rPr>
      </w:pPr>
      <w:r w:rsidRPr="006F0FE5">
        <w:rPr>
          <w:rFonts w:ascii="Calibri" w:hAnsi="Calibri" w:cs="Calibri"/>
          <w:noProof/>
        </w:rPr>
        <mc:AlternateContent>
          <mc:Choice Requires="wps">
            <w:drawing>
              <wp:inline distT="0" distB="0" distL="0" distR="0" wp14:anchorId="79FF9165" wp14:editId="7F17B11F">
                <wp:extent cx="9972675" cy="809625"/>
                <wp:effectExtent l="0" t="0" r="28575" b="28575"/>
                <wp:docPr id="173590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2675" cy="809625"/>
                        </a:xfrm>
                        <a:prstGeom prst="rect">
                          <a:avLst/>
                        </a:prstGeom>
                        <a:solidFill>
                          <a:srgbClr val="FFCE3C"/>
                        </a:solidFill>
                        <a:ln w="9525">
                          <a:solidFill>
                            <a:srgbClr val="000000"/>
                          </a:solidFill>
                          <a:miter lim="800000"/>
                          <a:headEnd/>
                          <a:tailEnd/>
                        </a:ln>
                      </wps:spPr>
                      <wps:txbx>
                        <w:txbxContent>
                          <w:p w14:paraId="6F05A023" w14:textId="77777777" w:rsidR="006F0FE5" w:rsidRDefault="006F0FE5" w:rsidP="006F0FE5">
                            <w:pPr>
                              <w:rPr>
                                <w:rFonts w:ascii="Calibri" w:hAnsi="Calibri" w:cs="Calibri"/>
                              </w:rPr>
                            </w:pPr>
                            <w:r>
                              <w:rPr>
                                <w:rFonts w:ascii="Calibri" w:hAnsi="Calibri" w:cs="Calibri"/>
                                <w:b/>
                                <w:bCs/>
                              </w:rPr>
                              <w:t>QESR RECOMMENDATION – Collaborative Provision</w:t>
                            </w:r>
                            <w:r w:rsidRPr="007E55DA">
                              <w:rPr>
                                <w:rFonts w:ascii="Calibri" w:hAnsi="Calibri" w:cs="Calibri"/>
                              </w:rPr>
                              <w:t>:</w:t>
                            </w:r>
                            <w:r>
                              <w:rPr>
                                <w:rFonts w:ascii="Calibri" w:hAnsi="Calibri" w:cs="Calibri"/>
                              </w:rPr>
                              <w:t xml:space="preserve"> </w:t>
                            </w:r>
                            <w:r w:rsidRPr="007E55DA">
                              <w:rPr>
                                <w:rFonts w:ascii="Calibri" w:hAnsi="Calibri" w:cs="Calibri"/>
                              </w:rPr>
                              <w:t>The University should improve the management of collaborative provision to ensure that reporting at senior institutional level is formalised and</w:t>
                            </w:r>
                            <w:r>
                              <w:rPr>
                                <w:rFonts w:ascii="Calibri" w:hAnsi="Calibri" w:cs="Calibri"/>
                              </w:rPr>
                              <w:t xml:space="preserve"> </w:t>
                            </w:r>
                            <w:r w:rsidRPr="007E55DA">
                              <w:rPr>
                                <w:rFonts w:ascii="Calibri" w:hAnsi="Calibri" w:cs="Calibri"/>
                              </w:rPr>
                              <w:t xml:space="preserve">strengthened so that the University can more effectively consider issues and necessary actions at institutional level. Action on this recommendation </w:t>
                            </w:r>
                            <w:r>
                              <w:rPr>
                                <w:rFonts w:ascii="Calibri" w:hAnsi="Calibri" w:cs="Calibri"/>
                              </w:rPr>
                              <w:t>s</w:t>
                            </w:r>
                            <w:r w:rsidRPr="007E55DA">
                              <w:rPr>
                                <w:rFonts w:ascii="Calibri" w:hAnsi="Calibri" w:cs="Calibri"/>
                              </w:rPr>
                              <w:t>hould build on the established quality assurance and enhancement processes, and the effectiveness of arrangements with the Partnership Management Team and the Partnership Management Committee.</w:t>
                            </w:r>
                          </w:p>
                          <w:p w14:paraId="7DBC1AFC" w14:textId="77777777" w:rsidR="006F0FE5" w:rsidRDefault="006F0FE5" w:rsidP="006F0FE5"/>
                          <w:p w14:paraId="45735660" w14:textId="77777777" w:rsidR="006F0FE5" w:rsidRDefault="006F0FE5" w:rsidP="006F0FE5"/>
                        </w:txbxContent>
                      </wps:txbx>
                      <wps:bodyPr rot="0" vert="horz" wrap="square" lIns="91440" tIns="45720" rIns="91440" bIns="45720" anchor="t" anchorCtr="0">
                        <a:noAutofit/>
                      </wps:bodyPr>
                    </wps:wsp>
                  </a:graphicData>
                </a:graphic>
              </wp:inline>
            </w:drawing>
          </mc:Choice>
          <mc:Fallback>
            <w:pict>
              <v:shape w14:anchorId="79FF9165" id="_x0000_s1028" type="#_x0000_t202" style="width:785.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" fillcolor="#ffce3c">
                <v:textbox>
                  <w:txbxContent>
                    <w:p w14:paraId="6F05A023" w14:textId="77777777" w:rsidR="006F0FE5" w:rsidRDefault="006F0FE5" w:rsidP="006F0FE5">
                      <w:pPr>
                        <w:rPr>
                          <w:rFonts w:ascii="Calibri" w:hAnsi="Calibri" w:cs="Calibri"/>
                        </w:rPr>
                      </w:pPr>
                      <w:r>
                        <w:rPr>
                          <w:rFonts w:ascii="Calibri" w:hAnsi="Calibri" w:cs="Calibri"/>
                          <w:b/>
                          <w:bCs/>
                        </w:rPr>
                        <w:t>QESR RECOMMENDATION – Collaborative Provision</w:t>
                      </w:r>
                      <w:r w:rsidRPr="007E55DA">
                        <w:rPr>
                          <w:rFonts w:ascii="Calibri" w:hAnsi="Calibri" w:cs="Calibri"/>
                        </w:rPr>
                        <w:t>:</w:t>
                      </w:r>
                      <w:r>
                        <w:rPr>
                          <w:rFonts w:ascii="Calibri" w:hAnsi="Calibri" w:cs="Calibri"/>
                        </w:rPr>
                        <w:t xml:space="preserve"> </w:t>
                      </w:r>
                      <w:r w:rsidRPr="007E55DA">
                        <w:rPr>
                          <w:rFonts w:ascii="Calibri" w:hAnsi="Calibri" w:cs="Calibri"/>
                        </w:rPr>
                        <w:t>The University should improve the management of collaborative provision to ensure that reporting at senior institutional level is formalised and</w:t>
                      </w:r>
                      <w:r>
                        <w:rPr>
                          <w:rFonts w:ascii="Calibri" w:hAnsi="Calibri" w:cs="Calibri"/>
                        </w:rPr>
                        <w:t xml:space="preserve"> </w:t>
                      </w:r>
                      <w:r w:rsidRPr="007E55DA">
                        <w:rPr>
                          <w:rFonts w:ascii="Calibri" w:hAnsi="Calibri" w:cs="Calibri"/>
                        </w:rPr>
                        <w:t xml:space="preserve">strengthened so that the University can more effectively consider issues and necessary actions at institutional level. Action on this recommendation </w:t>
                      </w:r>
                      <w:r>
                        <w:rPr>
                          <w:rFonts w:ascii="Calibri" w:hAnsi="Calibri" w:cs="Calibri"/>
                        </w:rPr>
                        <w:t>s</w:t>
                      </w:r>
                      <w:r w:rsidRPr="007E55DA">
                        <w:rPr>
                          <w:rFonts w:ascii="Calibri" w:hAnsi="Calibri" w:cs="Calibri"/>
                        </w:rPr>
                        <w:t>hould build on the established quality assurance and enhancement processes, and the effectiveness of arrangements with the Partnership Management Team and the Partnership Management Committee.</w:t>
                      </w:r>
                    </w:p>
                    <w:p w14:paraId="7DBC1AFC" w14:textId="77777777" w:rsidR="006F0FE5" w:rsidRDefault="006F0FE5" w:rsidP="006F0FE5"/>
                    <w:p w14:paraId="45735660" w14:textId="77777777" w:rsidR="006F0FE5" w:rsidRDefault="006F0FE5" w:rsidP="006F0FE5"/>
                  </w:txbxContent>
                </v:textbox>
                <w10:anchorlock/>
              </v:shape>
            </w:pict>
          </mc:Fallback>
        </mc:AlternateContent>
      </w:r>
    </w:p>
    <w:tbl>
      <w:tblPr>
        <w:tblStyle w:val="TableGrid"/>
        <w:tblW w:w="15706" w:type="dxa"/>
        <w:tblInd w:w="-147" w:type="dxa"/>
        <w:tblLook w:val="04A0" w:firstRow="1" w:lastRow="0" w:firstColumn="1" w:lastColumn="0" w:noHBand="0" w:noVBand="1"/>
      </w:tblPr>
      <w:tblGrid>
        <w:gridCol w:w="940"/>
        <w:gridCol w:w="7820"/>
        <w:gridCol w:w="3261"/>
        <w:gridCol w:w="1984"/>
        <w:gridCol w:w="1701"/>
      </w:tblGrid>
      <w:tr w:rsidR="003B0720" w:rsidRPr="007E55DA" w14:paraId="553AC761" w14:textId="77777777" w:rsidTr="00C854D1">
        <w:tc>
          <w:tcPr>
            <w:tcW w:w="940" w:type="dxa"/>
            <w:shd w:val="clear" w:color="auto" w:fill="A5C9EB" w:themeFill="text2" w:themeFillTint="40"/>
          </w:tcPr>
          <w:p w14:paraId="0B55A537" w14:textId="12D58094" w:rsidR="003B0720" w:rsidRDefault="003B0720" w:rsidP="008F1069">
            <w:pPr>
              <w:spacing w:line="276" w:lineRule="auto"/>
              <w:rPr>
                <w:rFonts w:ascii="Calibri" w:hAnsi="Calibri" w:cs="Calibri"/>
                <w:b/>
                <w:bCs/>
              </w:rPr>
            </w:pPr>
            <w:r>
              <w:rPr>
                <w:rFonts w:ascii="Calibri" w:hAnsi="Calibri" w:cs="Calibri"/>
                <w:b/>
                <w:bCs/>
              </w:rPr>
              <w:t>Action Ref</w:t>
            </w:r>
          </w:p>
        </w:tc>
        <w:tc>
          <w:tcPr>
            <w:tcW w:w="7820" w:type="dxa"/>
            <w:shd w:val="clear" w:color="auto" w:fill="A5C9EB" w:themeFill="text2" w:themeFillTint="40"/>
          </w:tcPr>
          <w:p w14:paraId="6FAFE0CE" w14:textId="77777777" w:rsidR="003B0720" w:rsidRPr="007E55DA" w:rsidRDefault="003B0720" w:rsidP="008F1069">
            <w:pPr>
              <w:spacing w:line="276" w:lineRule="auto"/>
              <w:rPr>
                <w:rFonts w:ascii="Calibri" w:hAnsi="Calibri" w:cs="Calibri"/>
              </w:rPr>
            </w:pPr>
            <w:r w:rsidRPr="006F55A0">
              <w:rPr>
                <w:rFonts w:ascii="Calibri" w:hAnsi="Calibri" w:cs="Calibri"/>
                <w:b/>
                <w:bCs/>
              </w:rPr>
              <w:t>Action in Response to Recommendation</w:t>
            </w:r>
          </w:p>
        </w:tc>
        <w:tc>
          <w:tcPr>
            <w:tcW w:w="3261" w:type="dxa"/>
            <w:shd w:val="clear" w:color="auto" w:fill="A5C9EB" w:themeFill="text2" w:themeFillTint="40"/>
          </w:tcPr>
          <w:p w14:paraId="49503705" w14:textId="77777777" w:rsidR="003B0720" w:rsidRPr="007E55DA" w:rsidRDefault="003B0720" w:rsidP="008F1069">
            <w:pPr>
              <w:spacing w:line="276" w:lineRule="auto"/>
              <w:rPr>
                <w:rFonts w:ascii="Calibri" w:hAnsi="Calibri" w:cs="Calibri"/>
              </w:rPr>
            </w:pPr>
            <w:r w:rsidRPr="006F55A0">
              <w:rPr>
                <w:rFonts w:ascii="Calibri" w:hAnsi="Calibri" w:cs="Calibri"/>
                <w:b/>
                <w:bCs/>
              </w:rPr>
              <w:t xml:space="preserve">Action </w:t>
            </w:r>
            <w:proofErr w:type="gramStart"/>
            <w:r w:rsidRPr="006F55A0">
              <w:rPr>
                <w:rFonts w:ascii="Calibri" w:hAnsi="Calibri" w:cs="Calibri"/>
                <w:b/>
                <w:bCs/>
              </w:rPr>
              <w:t>Lead</w:t>
            </w:r>
            <w:proofErr w:type="gramEnd"/>
          </w:p>
        </w:tc>
        <w:tc>
          <w:tcPr>
            <w:tcW w:w="1984" w:type="dxa"/>
            <w:shd w:val="clear" w:color="auto" w:fill="A5C9EB" w:themeFill="text2" w:themeFillTint="40"/>
          </w:tcPr>
          <w:p w14:paraId="47682B6D" w14:textId="77777777" w:rsidR="003B0720" w:rsidRPr="007E55DA" w:rsidRDefault="003B0720" w:rsidP="008F1069">
            <w:pPr>
              <w:spacing w:line="276" w:lineRule="auto"/>
              <w:rPr>
                <w:rFonts w:ascii="Calibri" w:hAnsi="Calibri" w:cs="Calibri"/>
              </w:rPr>
            </w:pPr>
            <w:r w:rsidRPr="006F55A0">
              <w:rPr>
                <w:rFonts w:ascii="Calibri" w:hAnsi="Calibri" w:cs="Calibri"/>
                <w:b/>
                <w:bCs/>
              </w:rPr>
              <w:t>Timeline for Action Completion</w:t>
            </w:r>
          </w:p>
        </w:tc>
        <w:tc>
          <w:tcPr>
            <w:tcW w:w="1701" w:type="dxa"/>
            <w:shd w:val="clear" w:color="auto" w:fill="A5C9EB" w:themeFill="text2" w:themeFillTint="40"/>
          </w:tcPr>
          <w:p w14:paraId="0256C11B" w14:textId="22FC069B" w:rsidR="003B0720" w:rsidRPr="007E55DA" w:rsidRDefault="003B0720" w:rsidP="008F1069">
            <w:pPr>
              <w:spacing w:line="276" w:lineRule="auto"/>
              <w:rPr>
                <w:rFonts w:ascii="Calibri" w:hAnsi="Calibri" w:cs="Calibri"/>
              </w:rPr>
            </w:pPr>
            <w:r w:rsidRPr="006F55A0">
              <w:rPr>
                <w:rFonts w:ascii="Calibri" w:hAnsi="Calibri" w:cs="Calibri"/>
                <w:b/>
                <w:bCs/>
              </w:rPr>
              <w:t>Status of Action</w:t>
            </w:r>
            <w:r>
              <w:rPr>
                <w:rFonts w:ascii="Calibri" w:hAnsi="Calibri" w:cs="Calibri"/>
                <w:b/>
                <w:bCs/>
              </w:rPr>
              <w:t xml:space="preserve"> </w:t>
            </w:r>
          </w:p>
        </w:tc>
      </w:tr>
      <w:tr w:rsidR="002F3990" w:rsidRPr="007E55DA" w14:paraId="5BD14CDE" w14:textId="77777777" w:rsidTr="00C854D1">
        <w:trPr>
          <w:trHeight w:val="983"/>
        </w:trPr>
        <w:tc>
          <w:tcPr>
            <w:tcW w:w="940" w:type="dxa"/>
          </w:tcPr>
          <w:p w14:paraId="4AFFB246" w14:textId="0846B22A" w:rsidR="002F3990" w:rsidRPr="000938D8" w:rsidRDefault="002F3990" w:rsidP="002F3990">
            <w:pPr>
              <w:pStyle w:val="ListParagraph"/>
              <w:numPr>
                <w:ilvl w:val="0"/>
                <w:numId w:val="3"/>
              </w:numPr>
              <w:spacing w:line="276" w:lineRule="auto"/>
              <w:rPr>
                <w:rFonts w:ascii="Calibri" w:hAnsi="Calibri" w:cs="Calibri"/>
              </w:rPr>
            </w:pPr>
          </w:p>
        </w:tc>
        <w:tc>
          <w:tcPr>
            <w:tcW w:w="7820" w:type="dxa"/>
          </w:tcPr>
          <w:p w14:paraId="4E6716B3" w14:textId="130457E0" w:rsidR="002F3990" w:rsidRPr="002930C6" w:rsidRDefault="00A54907" w:rsidP="002F3990">
            <w:pPr>
              <w:spacing w:line="276" w:lineRule="auto"/>
              <w:rPr>
                <w:rFonts w:ascii="Calibri" w:hAnsi="Calibri" w:cs="Calibri"/>
              </w:rPr>
            </w:pPr>
            <w:r w:rsidRPr="002930C6">
              <w:rPr>
                <w:rFonts w:ascii="Calibri" w:hAnsi="Calibri" w:cs="Calibri"/>
              </w:rPr>
              <w:t xml:space="preserve">Within the context of </w:t>
            </w:r>
            <w:r w:rsidR="00D3306E" w:rsidRPr="002930C6">
              <w:rPr>
                <w:rFonts w:ascii="Calibri" w:hAnsi="Calibri" w:cs="Calibri"/>
              </w:rPr>
              <w:t xml:space="preserve">ongoing review of the University’s arrangements for </w:t>
            </w:r>
            <w:r w:rsidR="00C854D1" w:rsidRPr="002930C6">
              <w:rPr>
                <w:rFonts w:ascii="Calibri" w:hAnsi="Calibri" w:cs="Calibri"/>
              </w:rPr>
              <w:t>partnerships, r</w:t>
            </w:r>
            <w:r w:rsidR="002F3990" w:rsidRPr="002930C6">
              <w:rPr>
                <w:rFonts w:ascii="Calibri" w:hAnsi="Calibri" w:cs="Calibri"/>
              </w:rPr>
              <w:t xml:space="preserve">eview the current purpose, remit, composition and reporting lines of the Partnership Management Teams and the Partnership Management Committees, to ensure continuing robustness and effectiveness. Implement any revisions from 2024/25. </w:t>
            </w:r>
          </w:p>
        </w:tc>
        <w:tc>
          <w:tcPr>
            <w:tcW w:w="3261" w:type="dxa"/>
          </w:tcPr>
          <w:p w14:paraId="088FC5D4" w14:textId="77777777" w:rsidR="002F3990" w:rsidRDefault="002F3990" w:rsidP="002F3990">
            <w:pPr>
              <w:spacing w:line="276" w:lineRule="auto"/>
              <w:rPr>
                <w:rFonts w:ascii="Calibri" w:hAnsi="Calibri" w:cs="Calibri"/>
              </w:rPr>
            </w:pPr>
            <w:r>
              <w:rPr>
                <w:rFonts w:ascii="Calibri" w:hAnsi="Calibri" w:cs="Calibri"/>
              </w:rPr>
              <w:t xml:space="preserve">Exec. Director Internationalisation and Partnerships / </w:t>
            </w:r>
          </w:p>
          <w:p w14:paraId="63DEA0C0" w14:textId="0EA512A3" w:rsidR="002F3990" w:rsidRDefault="002F3990" w:rsidP="002F3990">
            <w:pPr>
              <w:spacing w:line="276" w:lineRule="auto"/>
              <w:rPr>
                <w:rFonts w:ascii="Calibri" w:hAnsi="Calibri" w:cs="Calibri"/>
              </w:rPr>
            </w:pPr>
            <w:r>
              <w:rPr>
                <w:rFonts w:ascii="Calibri" w:hAnsi="Calibri" w:cs="Calibri"/>
              </w:rPr>
              <w:t>Academic Registrar</w:t>
            </w:r>
          </w:p>
        </w:tc>
        <w:tc>
          <w:tcPr>
            <w:tcW w:w="1984" w:type="dxa"/>
          </w:tcPr>
          <w:p w14:paraId="4E4EC3F0" w14:textId="53ABC7E0" w:rsidR="002F3990" w:rsidRPr="007E55DA" w:rsidRDefault="002F3990" w:rsidP="002F3990">
            <w:pPr>
              <w:spacing w:line="276" w:lineRule="auto"/>
              <w:rPr>
                <w:rFonts w:ascii="Calibri" w:hAnsi="Calibri" w:cs="Calibri"/>
              </w:rPr>
            </w:pPr>
            <w:r>
              <w:rPr>
                <w:rFonts w:ascii="Calibri" w:hAnsi="Calibri" w:cs="Calibri"/>
              </w:rPr>
              <w:t>September 2024</w:t>
            </w:r>
          </w:p>
        </w:tc>
        <w:tc>
          <w:tcPr>
            <w:tcW w:w="1701" w:type="dxa"/>
          </w:tcPr>
          <w:p w14:paraId="3EBFB6B6" w14:textId="001FBA30" w:rsidR="002F3990" w:rsidRPr="007E55DA" w:rsidRDefault="002F3990" w:rsidP="002F3990">
            <w:pPr>
              <w:spacing w:line="276" w:lineRule="auto"/>
              <w:rPr>
                <w:rFonts w:ascii="Calibri" w:hAnsi="Calibri" w:cs="Calibri"/>
              </w:rPr>
            </w:pPr>
            <w:r>
              <w:rPr>
                <w:rFonts w:ascii="Calibri" w:hAnsi="Calibri" w:cs="Calibri"/>
              </w:rPr>
              <w:t>In progress</w:t>
            </w:r>
          </w:p>
        </w:tc>
      </w:tr>
      <w:tr w:rsidR="002F3990" w:rsidRPr="007E55DA" w14:paraId="0AA8EC39" w14:textId="77777777" w:rsidTr="00C854D1">
        <w:trPr>
          <w:trHeight w:val="983"/>
        </w:trPr>
        <w:tc>
          <w:tcPr>
            <w:tcW w:w="940" w:type="dxa"/>
          </w:tcPr>
          <w:p w14:paraId="01C98816" w14:textId="4AF2EEB8" w:rsidR="002F3990" w:rsidRPr="000938D8" w:rsidRDefault="002F3990" w:rsidP="002F3990">
            <w:pPr>
              <w:pStyle w:val="ListParagraph"/>
              <w:numPr>
                <w:ilvl w:val="0"/>
                <w:numId w:val="3"/>
              </w:numPr>
              <w:spacing w:line="276" w:lineRule="auto"/>
              <w:rPr>
                <w:rFonts w:ascii="Calibri" w:hAnsi="Calibri" w:cs="Calibri"/>
              </w:rPr>
            </w:pPr>
          </w:p>
        </w:tc>
        <w:tc>
          <w:tcPr>
            <w:tcW w:w="7820" w:type="dxa"/>
          </w:tcPr>
          <w:p w14:paraId="2B766C31" w14:textId="2ECDD3E2" w:rsidR="002F3990" w:rsidRDefault="002F3990" w:rsidP="002F3990">
            <w:pPr>
              <w:spacing w:line="276" w:lineRule="auto"/>
              <w:rPr>
                <w:rFonts w:ascii="Calibri" w:hAnsi="Calibri" w:cs="Calibri"/>
              </w:rPr>
            </w:pPr>
            <w:r>
              <w:rPr>
                <w:rFonts w:ascii="Calibri" w:hAnsi="Calibri" w:cs="Calibri"/>
              </w:rPr>
              <w:t xml:space="preserve">Review and develop the current approach to the referral of matters identified through Partnership Management Committees that require institution level consideration or </w:t>
            </w:r>
            <w:proofErr w:type="gramStart"/>
            <w:r>
              <w:rPr>
                <w:rFonts w:ascii="Calibri" w:hAnsi="Calibri" w:cs="Calibri"/>
              </w:rPr>
              <w:t>action, and</w:t>
            </w:r>
            <w:proofErr w:type="gramEnd"/>
            <w:r>
              <w:rPr>
                <w:rFonts w:ascii="Calibri" w:hAnsi="Calibri" w:cs="Calibri"/>
              </w:rPr>
              <w:t xml:space="preserve"> agree and implement a revised approach from 2024/25 to ensure both clarity and robustness. </w:t>
            </w:r>
          </w:p>
        </w:tc>
        <w:tc>
          <w:tcPr>
            <w:tcW w:w="3261" w:type="dxa"/>
          </w:tcPr>
          <w:p w14:paraId="294661F0" w14:textId="77777777" w:rsidR="002F3990" w:rsidRDefault="002F3990" w:rsidP="002F3990">
            <w:pPr>
              <w:spacing w:line="276" w:lineRule="auto"/>
              <w:rPr>
                <w:rFonts w:ascii="Calibri" w:hAnsi="Calibri" w:cs="Calibri"/>
              </w:rPr>
            </w:pPr>
            <w:r>
              <w:rPr>
                <w:rFonts w:ascii="Calibri" w:hAnsi="Calibri" w:cs="Calibri"/>
              </w:rPr>
              <w:t xml:space="preserve">Exec. Director Internationalisation and Partnerships / </w:t>
            </w:r>
          </w:p>
          <w:p w14:paraId="7921501E" w14:textId="0C28100E" w:rsidR="002F3990" w:rsidRDefault="002F3990" w:rsidP="002F3990">
            <w:pPr>
              <w:spacing w:line="276" w:lineRule="auto"/>
              <w:rPr>
                <w:rFonts w:ascii="Calibri" w:hAnsi="Calibri" w:cs="Calibri"/>
              </w:rPr>
            </w:pPr>
            <w:r>
              <w:rPr>
                <w:rFonts w:ascii="Calibri" w:hAnsi="Calibri" w:cs="Calibri"/>
              </w:rPr>
              <w:t>Academic Registrar</w:t>
            </w:r>
          </w:p>
        </w:tc>
        <w:tc>
          <w:tcPr>
            <w:tcW w:w="1984" w:type="dxa"/>
          </w:tcPr>
          <w:p w14:paraId="0E0B8836" w14:textId="77FC90B8" w:rsidR="002F3990" w:rsidRDefault="002F3990" w:rsidP="002F3990">
            <w:pPr>
              <w:spacing w:line="276" w:lineRule="auto"/>
              <w:rPr>
                <w:rFonts w:ascii="Calibri" w:hAnsi="Calibri" w:cs="Calibri"/>
              </w:rPr>
            </w:pPr>
            <w:r>
              <w:rPr>
                <w:rFonts w:ascii="Calibri" w:hAnsi="Calibri" w:cs="Calibri"/>
              </w:rPr>
              <w:t>September 2024</w:t>
            </w:r>
          </w:p>
        </w:tc>
        <w:tc>
          <w:tcPr>
            <w:tcW w:w="1701" w:type="dxa"/>
          </w:tcPr>
          <w:p w14:paraId="6B753616" w14:textId="2F48E66B" w:rsidR="002F3990" w:rsidRDefault="002F3990" w:rsidP="002F3990">
            <w:pPr>
              <w:spacing w:line="276" w:lineRule="auto"/>
              <w:rPr>
                <w:rFonts w:ascii="Calibri" w:hAnsi="Calibri" w:cs="Calibri"/>
              </w:rPr>
            </w:pPr>
            <w:r>
              <w:rPr>
                <w:rFonts w:ascii="Calibri" w:hAnsi="Calibri" w:cs="Calibri"/>
              </w:rPr>
              <w:t>In progress</w:t>
            </w:r>
          </w:p>
        </w:tc>
      </w:tr>
      <w:tr w:rsidR="002F3990" w:rsidRPr="007E55DA" w14:paraId="79F18034" w14:textId="77777777" w:rsidTr="00C854D1">
        <w:trPr>
          <w:trHeight w:val="691"/>
        </w:trPr>
        <w:tc>
          <w:tcPr>
            <w:tcW w:w="940" w:type="dxa"/>
          </w:tcPr>
          <w:p w14:paraId="2AEF9B13" w14:textId="748E5787" w:rsidR="002F3990" w:rsidRPr="000938D8" w:rsidRDefault="002F3990" w:rsidP="002F3990">
            <w:pPr>
              <w:pStyle w:val="ListParagraph"/>
              <w:numPr>
                <w:ilvl w:val="0"/>
                <w:numId w:val="3"/>
              </w:numPr>
              <w:spacing w:line="276" w:lineRule="auto"/>
              <w:rPr>
                <w:rFonts w:ascii="Calibri" w:hAnsi="Calibri" w:cs="Calibri"/>
              </w:rPr>
            </w:pPr>
          </w:p>
        </w:tc>
        <w:tc>
          <w:tcPr>
            <w:tcW w:w="7820" w:type="dxa"/>
          </w:tcPr>
          <w:p w14:paraId="451CE186" w14:textId="10017B37" w:rsidR="002F3990" w:rsidRPr="007E55DA" w:rsidRDefault="002F3990" w:rsidP="002F3990">
            <w:pPr>
              <w:spacing w:line="276" w:lineRule="auto"/>
              <w:rPr>
                <w:rFonts w:ascii="Calibri" w:hAnsi="Calibri" w:cs="Calibri"/>
              </w:rPr>
            </w:pPr>
            <w:r>
              <w:rPr>
                <w:rFonts w:ascii="Calibri" w:hAnsi="Calibri" w:cs="Calibri"/>
              </w:rPr>
              <w:t xml:space="preserve">Review current reporting on collaborative provision within institutional quality and governance structures, and from 2024/25 implement strengthened arrangements as required to ensure and enable the effective formal consideration and oversight of issues, emerging developments and necessary actions relating to collaborative provision at the University level.  </w:t>
            </w:r>
          </w:p>
        </w:tc>
        <w:tc>
          <w:tcPr>
            <w:tcW w:w="3261" w:type="dxa"/>
          </w:tcPr>
          <w:p w14:paraId="00049F4F" w14:textId="4E367329" w:rsidR="002F3990" w:rsidRDefault="002F3990" w:rsidP="002F3990">
            <w:pPr>
              <w:spacing w:line="276" w:lineRule="auto"/>
              <w:rPr>
                <w:rFonts w:ascii="Calibri" w:hAnsi="Calibri" w:cs="Calibri"/>
              </w:rPr>
            </w:pPr>
            <w:r>
              <w:rPr>
                <w:rFonts w:ascii="Calibri" w:hAnsi="Calibri" w:cs="Calibri"/>
              </w:rPr>
              <w:t>Academic Registrar</w:t>
            </w:r>
          </w:p>
        </w:tc>
        <w:tc>
          <w:tcPr>
            <w:tcW w:w="1984" w:type="dxa"/>
          </w:tcPr>
          <w:p w14:paraId="2685FD20" w14:textId="6CBA4DDF" w:rsidR="002F3990" w:rsidRPr="007E55DA" w:rsidRDefault="002F3990" w:rsidP="002F3990">
            <w:pPr>
              <w:spacing w:line="276" w:lineRule="auto"/>
              <w:rPr>
                <w:rFonts w:ascii="Calibri" w:hAnsi="Calibri" w:cs="Calibri"/>
              </w:rPr>
            </w:pPr>
            <w:r>
              <w:rPr>
                <w:rFonts w:ascii="Calibri" w:hAnsi="Calibri" w:cs="Calibri"/>
              </w:rPr>
              <w:t>September 2024</w:t>
            </w:r>
          </w:p>
        </w:tc>
        <w:tc>
          <w:tcPr>
            <w:tcW w:w="1701" w:type="dxa"/>
          </w:tcPr>
          <w:p w14:paraId="7D4C7A01" w14:textId="13DFC223" w:rsidR="002F3990" w:rsidRPr="007E55DA" w:rsidRDefault="002F3990" w:rsidP="002F3990">
            <w:pPr>
              <w:spacing w:line="276" w:lineRule="auto"/>
              <w:rPr>
                <w:rFonts w:ascii="Calibri" w:hAnsi="Calibri" w:cs="Calibri"/>
              </w:rPr>
            </w:pPr>
            <w:r>
              <w:rPr>
                <w:rFonts w:ascii="Calibri" w:hAnsi="Calibri" w:cs="Calibri"/>
              </w:rPr>
              <w:t>In progress</w:t>
            </w:r>
          </w:p>
        </w:tc>
      </w:tr>
      <w:tr w:rsidR="00503908" w:rsidRPr="007E55DA" w14:paraId="77390753" w14:textId="77777777" w:rsidTr="00C854D1">
        <w:trPr>
          <w:trHeight w:val="691"/>
        </w:trPr>
        <w:tc>
          <w:tcPr>
            <w:tcW w:w="940" w:type="dxa"/>
          </w:tcPr>
          <w:p w14:paraId="377BD5F2" w14:textId="77777777" w:rsidR="00503908" w:rsidRPr="000938D8" w:rsidRDefault="00503908" w:rsidP="002F3990">
            <w:pPr>
              <w:pStyle w:val="ListParagraph"/>
              <w:numPr>
                <w:ilvl w:val="0"/>
                <w:numId w:val="3"/>
              </w:numPr>
              <w:spacing w:line="276" w:lineRule="auto"/>
              <w:rPr>
                <w:rFonts w:ascii="Calibri" w:hAnsi="Calibri" w:cs="Calibri"/>
              </w:rPr>
            </w:pPr>
          </w:p>
        </w:tc>
        <w:tc>
          <w:tcPr>
            <w:tcW w:w="7820" w:type="dxa"/>
          </w:tcPr>
          <w:p w14:paraId="24CB7949" w14:textId="2DA7F83F" w:rsidR="00503908" w:rsidRPr="006C4FDB" w:rsidRDefault="003217CF" w:rsidP="002F3990">
            <w:pPr>
              <w:spacing w:line="276" w:lineRule="auto"/>
              <w:rPr>
                <w:rFonts w:ascii="Calibri" w:hAnsi="Calibri" w:cs="Calibri"/>
              </w:rPr>
            </w:pPr>
            <w:r w:rsidRPr="006C4FDB">
              <w:rPr>
                <w:rFonts w:ascii="Calibri" w:hAnsi="Calibri" w:cs="Calibri"/>
              </w:rPr>
              <w:t xml:space="preserve">Undertake evaluation of the impact </w:t>
            </w:r>
            <w:r w:rsidR="00353C23" w:rsidRPr="006C4FDB">
              <w:rPr>
                <w:rFonts w:ascii="Calibri" w:hAnsi="Calibri" w:cs="Calibri"/>
              </w:rPr>
              <w:t xml:space="preserve">of the approaches and arrangements operated in 2024/25 </w:t>
            </w:r>
            <w:r w:rsidR="00702C3F" w:rsidRPr="006C4FDB">
              <w:rPr>
                <w:rFonts w:ascii="Calibri" w:hAnsi="Calibri" w:cs="Calibri"/>
              </w:rPr>
              <w:t xml:space="preserve">relevant to the management and governance of collaborative provision </w:t>
            </w:r>
            <w:r w:rsidR="00353C23" w:rsidRPr="006C4FDB">
              <w:rPr>
                <w:rFonts w:ascii="Calibri" w:hAnsi="Calibri" w:cs="Calibri"/>
              </w:rPr>
              <w:t>and consider opportunities for further enhancement ahead of 2025/26.</w:t>
            </w:r>
          </w:p>
        </w:tc>
        <w:tc>
          <w:tcPr>
            <w:tcW w:w="3261" w:type="dxa"/>
          </w:tcPr>
          <w:p w14:paraId="4EC5076B" w14:textId="77777777" w:rsidR="00353C23" w:rsidRPr="006C4FDB" w:rsidRDefault="00353C23" w:rsidP="00353C23">
            <w:pPr>
              <w:spacing w:line="276" w:lineRule="auto"/>
              <w:rPr>
                <w:rFonts w:ascii="Calibri" w:hAnsi="Calibri" w:cs="Calibri"/>
              </w:rPr>
            </w:pPr>
            <w:r w:rsidRPr="006C4FDB">
              <w:rPr>
                <w:rFonts w:ascii="Calibri" w:hAnsi="Calibri" w:cs="Calibri"/>
              </w:rPr>
              <w:t xml:space="preserve">Exec. Director Internationalisation and Partnerships / </w:t>
            </w:r>
          </w:p>
          <w:p w14:paraId="2CF8AD3A" w14:textId="77BA76B3" w:rsidR="00503908" w:rsidRPr="006C4FDB" w:rsidRDefault="00353C23" w:rsidP="00353C23">
            <w:pPr>
              <w:spacing w:line="276" w:lineRule="auto"/>
              <w:rPr>
                <w:rFonts w:ascii="Calibri" w:hAnsi="Calibri" w:cs="Calibri"/>
              </w:rPr>
            </w:pPr>
            <w:r w:rsidRPr="006C4FDB">
              <w:rPr>
                <w:rFonts w:ascii="Calibri" w:hAnsi="Calibri" w:cs="Calibri"/>
              </w:rPr>
              <w:t>Academic Registrar</w:t>
            </w:r>
          </w:p>
        </w:tc>
        <w:tc>
          <w:tcPr>
            <w:tcW w:w="1984" w:type="dxa"/>
          </w:tcPr>
          <w:p w14:paraId="5B1A5D64" w14:textId="071BF193" w:rsidR="00503908" w:rsidRPr="006C4FDB" w:rsidRDefault="00353C23" w:rsidP="002F3990">
            <w:pPr>
              <w:spacing w:line="276" w:lineRule="auto"/>
              <w:rPr>
                <w:rFonts w:ascii="Calibri" w:hAnsi="Calibri" w:cs="Calibri"/>
              </w:rPr>
            </w:pPr>
            <w:r w:rsidRPr="006C4FDB">
              <w:rPr>
                <w:rFonts w:ascii="Calibri" w:hAnsi="Calibri" w:cs="Calibri"/>
              </w:rPr>
              <w:t>July 2025</w:t>
            </w:r>
          </w:p>
        </w:tc>
        <w:tc>
          <w:tcPr>
            <w:tcW w:w="1701" w:type="dxa"/>
          </w:tcPr>
          <w:p w14:paraId="1D7D9E92" w14:textId="4D3D03BB" w:rsidR="00503908" w:rsidRPr="006C4FDB" w:rsidRDefault="00353C23" w:rsidP="002F3990">
            <w:pPr>
              <w:spacing w:line="276" w:lineRule="auto"/>
              <w:rPr>
                <w:rFonts w:ascii="Calibri" w:hAnsi="Calibri" w:cs="Calibri"/>
              </w:rPr>
            </w:pPr>
            <w:r w:rsidRPr="006C4FDB">
              <w:rPr>
                <w:rFonts w:ascii="Calibri" w:hAnsi="Calibri" w:cs="Calibri"/>
              </w:rPr>
              <w:t>Planned</w:t>
            </w:r>
          </w:p>
        </w:tc>
      </w:tr>
    </w:tbl>
    <w:p w14:paraId="6E75FCDD" w14:textId="31F4A4F6" w:rsidR="00E649DA" w:rsidRDefault="00E649DA"/>
    <w:p w14:paraId="553C0A37" w14:textId="53E735EF" w:rsidR="006F0FE5" w:rsidRPr="006F0FE5" w:rsidRDefault="00E649DA" w:rsidP="0090143A">
      <w:pPr>
        <w:ind w:left="-142"/>
      </w:pPr>
      <w:r>
        <w:br w:type="page"/>
      </w:r>
      <w:r w:rsidR="006F0FE5" w:rsidRPr="006F0FE5">
        <w:rPr>
          <w:rFonts w:ascii="Calibri" w:hAnsi="Calibri" w:cs="Calibri"/>
          <w:noProof/>
        </w:rPr>
        <mc:AlternateContent>
          <mc:Choice Requires="wps">
            <w:drawing>
              <wp:inline distT="0" distB="0" distL="0" distR="0" wp14:anchorId="32596FB9" wp14:editId="0B9BC069">
                <wp:extent cx="9944100" cy="457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457200"/>
                        </a:xfrm>
                        <a:prstGeom prst="rect">
                          <a:avLst/>
                        </a:prstGeom>
                        <a:solidFill>
                          <a:srgbClr val="FFCE3C"/>
                        </a:solidFill>
                        <a:ln w="9525">
                          <a:solidFill>
                            <a:srgbClr val="000000"/>
                          </a:solidFill>
                          <a:miter lim="800000"/>
                          <a:headEnd/>
                          <a:tailEnd/>
                        </a:ln>
                      </wps:spPr>
                      <wps:txbx>
                        <w:txbxContent>
                          <w:p w14:paraId="3F64AD31" w14:textId="1D1B0DCC" w:rsidR="006F0FE5" w:rsidRDefault="006F0FE5" w:rsidP="006F0FE5">
                            <w:pPr>
                              <w:rPr>
                                <w:rFonts w:ascii="Calibri" w:hAnsi="Calibri" w:cs="Calibri"/>
                              </w:rPr>
                            </w:pPr>
                            <w:r>
                              <w:rPr>
                                <w:rFonts w:ascii="Calibri" w:hAnsi="Calibri" w:cs="Calibri"/>
                                <w:b/>
                                <w:bCs/>
                              </w:rPr>
                              <w:t>QESR RECOMMENDATION – External Examiners</w:t>
                            </w:r>
                            <w:r w:rsidRPr="007E55DA">
                              <w:rPr>
                                <w:rFonts w:ascii="Calibri" w:hAnsi="Calibri" w:cs="Calibri"/>
                              </w:rPr>
                              <w:t>:</w:t>
                            </w:r>
                            <w:r>
                              <w:rPr>
                                <w:rFonts w:ascii="Calibri" w:hAnsi="Calibri" w:cs="Calibri"/>
                              </w:rPr>
                              <w:t xml:space="preserve"> </w:t>
                            </w:r>
                            <w:r w:rsidRPr="007E55DA">
                              <w:rPr>
                                <w:rFonts w:ascii="Calibri" w:hAnsi="Calibri" w:cs="Calibri"/>
                              </w:rPr>
                              <w:t>The University should take a proactive approach to ensure that all students have automatic access to the external examiner reports for their programmes of study, building on the progress in this area since ELIR 4.</w:t>
                            </w:r>
                          </w:p>
                          <w:p w14:paraId="47C42EAE" w14:textId="78A99737" w:rsidR="006F0FE5" w:rsidRDefault="006F0FE5"/>
                        </w:txbxContent>
                      </wps:txbx>
                      <wps:bodyPr rot="0" vert="horz" wrap="square" lIns="91440" tIns="45720" rIns="91440" bIns="45720" anchor="t" anchorCtr="0">
                        <a:noAutofit/>
                      </wps:bodyPr>
                    </wps:wsp>
                  </a:graphicData>
                </a:graphic>
              </wp:inline>
            </w:drawing>
          </mc:Choice>
          <mc:Fallback>
            <w:pict>
              <v:shape w14:anchorId="32596FB9" id="_x0000_s1029" type="#_x0000_t202" style="width:78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" fillcolor="#ffce3c">
                <v:textbox>
                  <w:txbxContent>
                    <w:p w14:paraId="3F64AD31" w14:textId="1D1B0DCC" w:rsidR="006F0FE5" w:rsidRDefault="006F0FE5" w:rsidP="006F0FE5">
                      <w:pPr>
                        <w:rPr>
                          <w:rFonts w:ascii="Calibri" w:hAnsi="Calibri" w:cs="Calibri"/>
                        </w:rPr>
                      </w:pPr>
                      <w:r>
                        <w:rPr>
                          <w:rFonts w:ascii="Calibri" w:hAnsi="Calibri" w:cs="Calibri"/>
                          <w:b/>
                          <w:bCs/>
                        </w:rPr>
                        <w:t>QESR RECOMMENDATION – External Examiners</w:t>
                      </w:r>
                      <w:r w:rsidRPr="007E55DA">
                        <w:rPr>
                          <w:rFonts w:ascii="Calibri" w:hAnsi="Calibri" w:cs="Calibri"/>
                        </w:rPr>
                        <w:t>:</w:t>
                      </w:r>
                      <w:r>
                        <w:rPr>
                          <w:rFonts w:ascii="Calibri" w:hAnsi="Calibri" w:cs="Calibri"/>
                        </w:rPr>
                        <w:t xml:space="preserve"> </w:t>
                      </w:r>
                      <w:r w:rsidRPr="007E55DA">
                        <w:rPr>
                          <w:rFonts w:ascii="Calibri" w:hAnsi="Calibri" w:cs="Calibri"/>
                        </w:rPr>
                        <w:t>The University should take a proactive approach to ensure that all students have automatic access to the external examiner reports for their programmes of study, building on the progress in this area since ELIR 4.</w:t>
                      </w:r>
                    </w:p>
                    <w:p w14:paraId="47C42EAE" w14:textId="78A99737" w:rsidR="006F0FE5" w:rsidRDefault="006F0FE5"/>
                  </w:txbxContent>
                </v:textbox>
                <w10:anchorlock/>
              </v:shape>
            </w:pict>
          </mc:Fallback>
        </mc:AlternateContent>
      </w:r>
    </w:p>
    <w:tbl>
      <w:tblPr>
        <w:tblStyle w:val="TableGrid"/>
        <w:tblW w:w="15706" w:type="dxa"/>
        <w:tblInd w:w="-147" w:type="dxa"/>
        <w:tblLook w:val="04A0" w:firstRow="1" w:lastRow="0" w:firstColumn="1" w:lastColumn="0" w:noHBand="0" w:noVBand="1"/>
      </w:tblPr>
      <w:tblGrid>
        <w:gridCol w:w="940"/>
        <w:gridCol w:w="7820"/>
        <w:gridCol w:w="3119"/>
        <w:gridCol w:w="2126"/>
        <w:gridCol w:w="1701"/>
      </w:tblGrid>
      <w:tr w:rsidR="00904191" w:rsidRPr="007E55DA" w14:paraId="253BD70A" w14:textId="77777777" w:rsidTr="00E456DE">
        <w:tc>
          <w:tcPr>
            <w:tcW w:w="940" w:type="dxa"/>
            <w:shd w:val="clear" w:color="auto" w:fill="A5C9EB" w:themeFill="text2" w:themeFillTint="40"/>
          </w:tcPr>
          <w:p w14:paraId="017F17C4" w14:textId="5889C9A9" w:rsidR="00904191" w:rsidRDefault="00904191" w:rsidP="008F1069">
            <w:pPr>
              <w:spacing w:line="276" w:lineRule="auto"/>
              <w:rPr>
                <w:rFonts w:ascii="Calibri" w:hAnsi="Calibri" w:cs="Calibri"/>
                <w:b/>
                <w:bCs/>
              </w:rPr>
            </w:pPr>
            <w:r>
              <w:rPr>
                <w:rFonts w:ascii="Calibri" w:hAnsi="Calibri" w:cs="Calibri"/>
                <w:b/>
                <w:bCs/>
              </w:rPr>
              <w:t>Action Ref</w:t>
            </w:r>
          </w:p>
        </w:tc>
        <w:tc>
          <w:tcPr>
            <w:tcW w:w="7820" w:type="dxa"/>
            <w:shd w:val="clear" w:color="auto" w:fill="A5C9EB" w:themeFill="text2" w:themeFillTint="40"/>
          </w:tcPr>
          <w:p w14:paraId="03BF7780" w14:textId="77777777" w:rsidR="00904191" w:rsidRPr="007E55DA" w:rsidRDefault="00904191" w:rsidP="008F1069">
            <w:pPr>
              <w:spacing w:line="276" w:lineRule="auto"/>
              <w:rPr>
                <w:rFonts w:ascii="Calibri" w:hAnsi="Calibri" w:cs="Calibri"/>
              </w:rPr>
            </w:pPr>
            <w:r w:rsidRPr="006F55A0">
              <w:rPr>
                <w:rFonts w:ascii="Calibri" w:hAnsi="Calibri" w:cs="Calibri"/>
                <w:b/>
                <w:bCs/>
              </w:rPr>
              <w:t>Action in Response to Recommendation</w:t>
            </w:r>
          </w:p>
        </w:tc>
        <w:tc>
          <w:tcPr>
            <w:tcW w:w="3119" w:type="dxa"/>
            <w:shd w:val="clear" w:color="auto" w:fill="A5C9EB" w:themeFill="text2" w:themeFillTint="40"/>
          </w:tcPr>
          <w:p w14:paraId="63580CF1" w14:textId="77777777" w:rsidR="00904191" w:rsidRPr="007E55DA" w:rsidRDefault="00904191" w:rsidP="008F1069">
            <w:pPr>
              <w:spacing w:line="276" w:lineRule="auto"/>
              <w:rPr>
                <w:rFonts w:ascii="Calibri" w:hAnsi="Calibri" w:cs="Calibri"/>
              </w:rPr>
            </w:pPr>
            <w:r w:rsidRPr="006F55A0">
              <w:rPr>
                <w:rFonts w:ascii="Calibri" w:hAnsi="Calibri" w:cs="Calibri"/>
                <w:b/>
                <w:bCs/>
              </w:rPr>
              <w:t xml:space="preserve">Action </w:t>
            </w:r>
            <w:proofErr w:type="gramStart"/>
            <w:r w:rsidRPr="006F55A0">
              <w:rPr>
                <w:rFonts w:ascii="Calibri" w:hAnsi="Calibri" w:cs="Calibri"/>
                <w:b/>
                <w:bCs/>
              </w:rPr>
              <w:t>Lead</w:t>
            </w:r>
            <w:proofErr w:type="gramEnd"/>
          </w:p>
        </w:tc>
        <w:tc>
          <w:tcPr>
            <w:tcW w:w="2126" w:type="dxa"/>
            <w:shd w:val="clear" w:color="auto" w:fill="A5C9EB" w:themeFill="text2" w:themeFillTint="40"/>
          </w:tcPr>
          <w:p w14:paraId="36CA68BE" w14:textId="77777777" w:rsidR="00904191" w:rsidRPr="007E55DA" w:rsidRDefault="00904191" w:rsidP="008F1069">
            <w:pPr>
              <w:spacing w:line="276" w:lineRule="auto"/>
              <w:rPr>
                <w:rFonts w:ascii="Calibri" w:hAnsi="Calibri" w:cs="Calibri"/>
              </w:rPr>
            </w:pPr>
            <w:r w:rsidRPr="006F55A0">
              <w:rPr>
                <w:rFonts w:ascii="Calibri" w:hAnsi="Calibri" w:cs="Calibri"/>
                <w:b/>
                <w:bCs/>
              </w:rPr>
              <w:t>Timeline for Action Completion</w:t>
            </w:r>
          </w:p>
        </w:tc>
        <w:tc>
          <w:tcPr>
            <w:tcW w:w="1701" w:type="dxa"/>
            <w:shd w:val="clear" w:color="auto" w:fill="A5C9EB" w:themeFill="text2" w:themeFillTint="40"/>
          </w:tcPr>
          <w:p w14:paraId="0E210EA7" w14:textId="77777777" w:rsidR="00904191" w:rsidRPr="007E55DA" w:rsidRDefault="00904191" w:rsidP="008F1069">
            <w:pPr>
              <w:spacing w:line="276" w:lineRule="auto"/>
              <w:rPr>
                <w:rFonts w:ascii="Calibri" w:hAnsi="Calibri" w:cs="Calibri"/>
              </w:rPr>
            </w:pPr>
            <w:r w:rsidRPr="006F55A0">
              <w:rPr>
                <w:rFonts w:ascii="Calibri" w:hAnsi="Calibri" w:cs="Calibri"/>
                <w:b/>
                <w:bCs/>
              </w:rPr>
              <w:t>Status of Action</w:t>
            </w:r>
          </w:p>
        </w:tc>
      </w:tr>
      <w:tr w:rsidR="00904191" w:rsidRPr="007E55DA" w14:paraId="5635D05E" w14:textId="77777777" w:rsidTr="00E456DE">
        <w:trPr>
          <w:trHeight w:val="983"/>
        </w:trPr>
        <w:tc>
          <w:tcPr>
            <w:tcW w:w="940" w:type="dxa"/>
          </w:tcPr>
          <w:p w14:paraId="03B56138" w14:textId="6D2AC533" w:rsidR="00904191" w:rsidRPr="000938D8" w:rsidRDefault="00904191" w:rsidP="008F1069">
            <w:pPr>
              <w:pStyle w:val="ListParagraph"/>
              <w:numPr>
                <w:ilvl w:val="0"/>
                <w:numId w:val="3"/>
              </w:numPr>
              <w:spacing w:line="276" w:lineRule="auto"/>
              <w:rPr>
                <w:rFonts w:ascii="Calibri" w:hAnsi="Calibri" w:cs="Calibri"/>
              </w:rPr>
            </w:pPr>
          </w:p>
        </w:tc>
        <w:tc>
          <w:tcPr>
            <w:tcW w:w="7820" w:type="dxa"/>
          </w:tcPr>
          <w:p w14:paraId="605F58DD" w14:textId="5AE5E7CB" w:rsidR="00904191" w:rsidRPr="007E55DA" w:rsidRDefault="00904191" w:rsidP="008F1069">
            <w:pPr>
              <w:spacing w:line="276" w:lineRule="auto"/>
              <w:rPr>
                <w:rFonts w:ascii="Calibri" w:hAnsi="Calibri" w:cs="Calibri"/>
              </w:rPr>
            </w:pPr>
            <w:r>
              <w:rPr>
                <w:rFonts w:ascii="Calibri" w:hAnsi="Calibri" w:cs="Calibri"/>
              </w:rPr>
              <w:t>Create a repository for External Examiner reports that is readily accessible by students, and that enables ongoing automatic access to the reports for all students.</w:t>
            </w:r>
          </w:p>
        </w:tc>
        <w:tc>
          <w:tcPr>
            <w:tcW w:w="3119" w:type="dxa"/>
          </w:tcPr>
          <w:p w14:paraId="77D34C38" w14:textId="77777777" w:rsidR="00B24BE2" w:rsidRDefault="00904191" w:rsidP="008F1069">
            <w:pPr>
              <w:spacing w:line="276" w:lineRule="auto"/>
              <w:rPr>
                <w:rFonts w:ascii="Calibri" w:hAnsi="Calibri" w:cs="Calibri"/>
              </w:rPr>
            </w:pPr>
            <w:r>
              <w:rPr>
                <w:rFonts w:ascii="Calibri" w:hAnsi="Calibri" w:cs="Calibri"/>
              </w:rPr>
              <w:t>Academic Registrar</w:t>
            </w:r>
            <w:r w:rsidR="00B24BE2">
              <w:rPr>
                <w:rFonts w:ascii="Calibri" w:hAnsi="Calibri" w:cs="Calibri"/>
              </w:rPr>
              <w:t xml:space="preserve"> </w:t>
            </w:r>
            <w:r>
              <w:rPr>
                <w:rFonts w:ascii="Calibri" w:hAnsi="Calibri" w:cs="Calibri"/>
              </w:rPr>
              <w:t>/</w:t>
            </w:r>
            <w:r w:rsidR="00B24BE2">
              <w:rPr>
                <w:rFonts w:ascii="Calibri" w:hAnsi="Calibri" w:cs="Calibri"/>
              </w:rPr>
              <w:t xml:space="preserve"> </w:t>
            </w:r>
          </w:p>
          <w:p w14:paraId="44E106FA" w14:textId="104D12B4" w:rsidR="00904191" w:rsidRDefault="00904191" w:rsidP="008F1069">
            <w:pPr>
              <w:spacing w:line="276" w:lineRule="auto"/>
              <w:rPr>
                <w:rFonts w:ascii="Calibri" w:hAnsi="Calibri" w:cs="Calibri"/>
              </w:rPr>
            </w:pPr>
            <w:r>
              <w:rPr>
                <w:rFonts w:ascii="Calibri" w:hAnsi="Calibri" w:cs="Calibri"/>
              </w:rPr>
              <w:t>Academic Quality and Governance Manager</w:t>
            </w:r>
          </w:p>
        </w:tc>
        <w:tc>
          <w:tcPr>
            <w:tcW w:w="2126" w:type="dxa"/>
          </w:tcPr>
          <w:p w14:paraId="257CDEA7" w14:textId="145692E3" w:rsidR="00904191" w:rsidRPr="007E55DA" w:rsidRDefault="00904191" w:rsidP="008F1069">
            <w:pPr>
              <w:spacing w:line="276" w:lineRule="auto"/>
              <w:rPr>
                <w:rFonts w:ascii="Calibri" w:hAnsi="Calibri" w:cs="Calibri"/>
              </w:rPr>
            </w:pPr>
            <w:r>
              <w:rPr>
                <w:rFonts w:ascii="Calibri" w:hAnsi="Calibri" w:cs="Calibri"/>
              </w:rPr>
              <w:t>September 2024</w:t>
            </w:r>
          </w:p>
        </w:tc>
        <w:tc>
          <w:tcPr>
            <w:tcW w:w="1701" w:type="dxa"/>
          </w:tcPr>
          <w:p w14:paraId="42767A12" w14:textId="47235EF7" w:rsidR="00904191" w:rsidRPr="007E55DA" w:rsidRDefault="00904191" w:rsidP="008F1069">
            <w:pPr>
              <w:spacing w:line="276" w:lineRule="auto"/>
              <w:rPr>
                <w:rFonts w:ascii="Calibri" w:hAnsi="Calibri" w:cs="Calibri"/>
              </w:rPr>
            </w:pPr>
            <w:r>
              <w:rPr>
                <w:rFonts w:ascii="Calibri" w:hAnsi="Calibri" w:cs="Calibri"/>
              </w:rPr>
              <w:t>In progress</w:t>
            </w:r>
          </w:p>
        </w:tc>
      </w:tr>
      <w:tr w:rsidR="00904191" w:rsidRPr="007E55DA" w14:paraId="29C92FA2" w14:textId="77777777" w:rsidTr="00E456DE">
        <w:trPr>
          <w:trHeight w:val="983"/>
        </w:trPr>
        <w:tc>
          <w:tcPr>
            <w:tcW w:w="940" w:type="dxa"/>
          </w:tcPr>
          <w:p w14:paraId="7F89E08D" w14:textId="77777777" w:rsidR="00904191" w:rsidRPr="000938D8" w:rsidRDefault="00904191" w:rsidP="007923BF">
            <w:pPr>
              <w:pStyle w:val="ListParagraph"/>
              <w:numPr>
                <w:ilvl w:val="0"/>
                <w:numId w:val="3"/>
              </w:numPr>
              <w:spacing w:line="276" w:lineRule="auto"/>
              <w:rPr>
                <w:rFonts w:ascii="Calibri" w:hAnsi="Calibri" w:cs="Calibri"/>
              </w:rPr>
            </w:pPr>
          </w:p>
        </w:tc>
        <w:tc>
          <w:tcPr>
            <w:tcW w:w="7820" w:type="dxa"/>
          </w:tcPr>
          <w:p w14:paraId="67788EC3" w14:textId="24C397AF" w:rsidR="00904191" w:rsidRPr="007E55DA" w:rsidRDefault="00904191" w:rsidP="007923BF">
            <w:pPr>
              <w:spacing w:line="276" w:lineRule="auto"/>
              <w:rPr>
                <w:rFonts w:ascii="Calibri" w:hAnsi="Calibri" w:cs="Calibri"/>
              </w:rPr>
            </w:pPr>
            <w:r>
              <w:rPr>
                <w:rFonts w:ascii="Calibri" w:hAnsi="Calibri" w:cs="Calibri"/>
              </w:rPr>
              <w:t xml:space="preserve">Provide a direct link to the External Examiner report repository via the VLE and the University website. </w:t>
            </w:r>
          </w:p>
        </w:tc>
        <w:tc>
          <w:tcPr>
            <w:tcW w:w="3119" w:type="dxa"/>
          </w:tcPr>
          <w:p w14:paraId="1709AD54" w14:textId="1B4FA655" w:rsidR="00904191" w:rsidRDefault="00904191" w:rsidP="007923BF">
            <w:pPr>
              <w:spacing w:line="276" w:lineRule="auto"/>
              <w:rPr>
                <w:rFonts w:ascii="Calibri" w:hAnsi="Calibri" w:cs="Calibri"/>
              </w:rPr>
            </w:pPr>
            <w:r>
              <w:rPr>
                <w:rFonts w:ascii="Calibri" w:hAnsi="Calibri" w:cs="Calibri"/>
              </w:rPr>
              <w:t>Academic Registrar</w:t>
            </w:r>
            <w:r w:rsidR="00B24BE2">
              <w:rPr>
                <w:rFonts w:ascii="Calibri" w:hAnsi="Calibri" w:cs="Calibri"/>
              </w:rPr>
              <w:t xml:space="preserve"> </w:t>
            </w:r>
            <w:r>
              <w:rPr>
                <w:rFonts w:ascii="Calibri" w:hAnsi="Calibri" w:cs="Calibri"/>
              </w:rPr>
              <w:t>/</w:t>
            </w:r>
            <w:r w:rsidR="00B24BE2">
              <w:rPr>
                <w:rFonts w:ascii="Calibri" w:hAnsi="Calibri" w:cs="Calibri"/>
              </w:rPr>
              <w:t xml:space="preserve"> </w:t>
            </w:r>
            <w:r>
              <w:rPr>
                <w:rFonts w:ascii="Calibri" w:hAnsi="Calibri" w:cs="Calibri"/>
              </w:rPr>
              <w:t>Academic Quality and Governance Manager</w:t>
            </w:r>
          </w:p>
        </w:tc>
        <w:tc>
          <w:tcPr>
            <w:tcW w:w="2126" w:type="dxa"/>
          </w:tcPr>
          <w:p w14:paraId="02D218B7" w14:textId="09AF8BBB" w:rsidR="00904191" w:rsidRPr="007E55DA" w:rsidRDefault="00904191" w:rsidP="007923BF">
            <w:pPr>
              <w:spacing w:line="276" w:lineRule="auto"/>
              <w:rPr>
                <w:rFonts w:ascii="Calibri" w:hAnsi="Calibri" w:cs="Calibri"/>
              </w:rPr>
            </w:pPr>
            <w:r>
              <w:rPr>
                <w:rFonts w:ascii="Calibri" w:hAnsi="Calibri" w:cs="Calibri"/>
              </w:rPr>
              <w:t>September 2024</w:t>
            </w:r>
          </w:p>
        </w:tc>
        <w:tc>
          <w:tcPr>
            <w:tcW w:w="1701" w:type="dxa"/>
          </w:tcPr>
          <w:p w14:paraId="510AE392" w14:textId="7CB44BAD" w:rsidR="00904191" w:rsidRPr="007E55DA" w:rsidRDefault="00904191" w:rsidP="007923BF">
            <w:pPr>
              <w:spacing w:line="276" w:lineRule="auto"/>
              <w:rPr>
                <w:rFonts w:ascii="Calibri" w:hAnsi="Calibri" w:cs="Calibri"/>
              </w:rPr>
            </w:pPr>
            <w:r>
              <w:rPr>
                <w:rFonts w:ascii="Calibri" w:hAnsi="Calibri" w:cs="Calibri"/>
              </w:rPr>
              <w:t>In progress</w:t>
            </w:r>
          </w:p>
        </w:tc>
      </w:tr>
      <w:tr w:rsidR="00904191" w:rsidRPr="007E55DA" w14:paraId="6914254B" w14:textId="77777777" w:rsidTr="00E456DE">
        <w:trPr>
          <w:trHeight w:val="983"/>
        </w:trPr>
        <w:tc>
          <w:tcPr>
            <w:tcW w:w="940" w:type="dxa"/>
          </w:tcPr>
          <w:p w14:paraId="324C78FB" w14:textId="77777777" w:rsidR="00904191" w:rsidRPr="000938D8" w:rsidRDefault="00904191" w:rsidP="007923BF">
            <w:pPr>
              <w:pStyle w:val="ListParagraph"/>
              <w:numPr>
                <w:ilvl w:val="0"/>
                <w:numId w:val="3"/>
              </w:numPr>
              <w:spacing w:line="276" w:lineRule="auto"/>
              <w:rPr>
                <w:rFonts w:ascii="Calibri" w:hAnsi="Calibri" w:cs="Calibri"/>
              </w:rPr>
            </w:pPr>
          </w:p>
        </w:tc>
        <w:tc>
          <w:tcPr>
            <w:tcW w:w="7820" w:type="dxa"/>
          </w:tcPr>
          <w:p w14:paraId="3ACA1671" w14:textId="768257CF" w:rsidR="00904191" w:rsidRDefault="00904191" w:rsidP="007923BF">
            <w:pPr>
              <w:spacing w:line="276" w:lineRule="auto"/>
              <w:rPr>
                <w:rFonts w:ascii="Calibri" w:hAnsi="Calibri" w:cs="Calibri"/>
              </w:rPr>
            </w:pPr>
            <w:r>
              <w:rPr>
                <w:rFonts w:ascii="Calibri" w:hAnsi="Calibri" w:cs="Calibri"/>
              </w:rPr>
              <w:t>Revise and develop the information available to students regarding External Examining and External Examiner reports via the student pages on the website, to enhance clarity and promote awareness of the availability of reports.</w:t>
            </w:r>
          </w:p>
        </w:tc>
        <w:tc>
          <w:tcPr>
            <w:tcW w:w="3119" w:type="dxa"/>
          </w:tcPr>
          <w:p w14:paraId="75CBBE0C" w14:textId="55CCDB2D" w:rsidR="00904191" w:rsidRDefault="00904191" w:rsidP="007923BF">
            <w:pPr>
              <w:spacing w:line="276" w:lineRule="auto"/>
              <w:rPr>
                <w:rFonts w:ascii="Calibri" w:hAnsi="Calibri" w:cs="Calibri"/>
              </w:rPr>
            </w:pPr>
            <w:r>
              <w:rPr>
                <w:rFonts w:ascii="Calibri" w:hAnsi="Calibri" w:cs="Calibri"/>
              </w:rPr>
              <w:t>Academic Registrar</w:t>
            </w:r>
            <w:r w:rsidR="00B24BE2">
              <w:rPr>
                <w:rFonts w:ascii="Calibri" w:hAnsi="Calibri" w:cs="Calibri"/>
              </w:rPr>
              <w:t xml:space="preserve"> </w:t>
            </w:r>
            <w:r>
              <w:rPr>
                <w:rFonts w:ascii="Calibri" w:hAnsi="Calibri" w:cs="Calibri"/>
              </w:rPr>
              <w:t>/</w:t>
            </w:r>
            <w:r w:rsidR="00B24BE2">
              <w:rPr>
                <w:rFonts w:ascii="Calibri" w:hAnsi="Calibri" w:cs="Calibri"/>
              </w:rPr>
              <w:t xml:space="preserve"> </w:t>
            </w:r>
            <w:r>
              <w:rPr>
                <w:rFonts w:ascii="Calibri" w:hAnsi="Calibri" w:cs="Calibri"/>
              </w:rPr>
              <w:t>Academic Quality and Governance Manager</w:t>
            </w:r>
          </w:p>
        </w:tc>
        <w:tc>
          <w:tcPr>
            <w:tcW w:w="2126" w:type="dxa"/>
          </w:tcPr>
          <w:p w14:paraId="48513ACB" w14:textId="70D98FA3" w:rsidR="00904191" w:rsidRDefault="00904191" w:rsidP="007923BF">
            <w:pPr>
              <w:spacing w:line="276" w:lineRule="auto"/>
              <w:rPr>
                <w:rFonts w:ascii="Calibri" w:hAnsi="Calibri" w:cs="Calibri"/>
              </w:rPr>
            </w:pPr>
            <w:r>
              <w:rPr>
                <w:rFonts w:ascii="Calibri" w:hAnsi="Calibri" w:cs="Calibri"/>
              </w:rPr>
              <w:t>September 2024</w:t>
            </w:r>
          </w:p>
        </w:tc>
        <w:tc>
          <w:tcPr>
            <w:tcW w:w="1701" w:type="dxa"/>
          </w:tcPr>
          <w:p w14:paraId="6F494620" w14:textId="2C0E1B0F" w:rsidR="00904191" w:rsidRDefault="00904191" w:rsidP="007923BF">
            <w:pPr>
              <w:spacing w:line="276" w:lineRule="auto"/>
              <w:rPr>
                <w:rFonts w:ascii="Calibri" w:hAnsi="Calibri" w:cs="Calibri"/>
              </w:rPr>
            </w:pPr>
            <w:r>
              <w:rPr>
                <w:rFonts w:ascii="Calibri" w:hAnsi="Calibri" w:cs="Calibri"/>
              </w:rPr>
              <w:t>In progress</w:t>
            </w:r>
          </w:p>
        </w:tc>
      </w:tr>
      <w:tr w:rsidR="006E7865" w:rsidRPr="007E55DA" w14:paraId="4CF9314A" w14:textId="77777777" w:rsidTr="00E456DE">
        <w:trPr>
          <w:trHeight w:val="983"/>
        </w:trPr>
        <w:tc>
          <w:tcPr>
            <w:tcW w:w="940" w:type="dxa"/>
          </w:tcPr>
          <w:p w14:paraId="65A12E68" w14:textId="77777777" w:rsidR="006E7865" w:rsidRPr="000938D8" w:rsidRDefault="006E7865" w:rsidP="007923BF">
            <w:pPr>
              <w:pStyle w:val="ListParagraph"/>
              <w:numPr>
                <w:ilvl w:val="0"/>
                <w:numId w:val="3"/>
              </w:numPr>
              <w:spacing w:line="276" w:lineRule="auto"/>
              <w:rPr>
                <w:rFonts w:ascii="Calibri" w:hAnsi="Calibri" w:cs="Calibri"/>
              </w:rPr>
            </w:pPr>
          </w:p>
        </w:tc>
        <w:tc>
          <w:tcPr>
            <w:tcW w:w="7820" w:type="dxa"/>
          </w:tcPr>
          <w:p w14:paraId="737E47B6" w14:textId="2CE31E2B" w:rsidR="006E7865" w:rsidRPr="006C4FDB" w:rsidRDefault="003573F2" w:rsidP="007923BF">
            <w:pPr>
              <w:spacing w:line="276" w:lineRule="auto"/>
              <w:rPr>
                <w:rFonts w:ascii="Calibri" w:hAnsi="Calibri" w:cs="Calibri"/>
              </w:rPr>
            </w:pPr>
            <w:r w:rsidRPr="006C4FDB">
              <w:rPr>
                <w:rFonts w:ascii="Calibri" w:hAnsi="Calibri" w:cs="Calibri"/>
              </w:rPr>
              <w:t xml:space="preserve">Undertake evaluation of the efficacy of the </w:t>
            </w:r>
            <w:r w:rsidR="0078734F" w:rsidRPr="006C4FDB">
              <w:rPr>
                <w:rFonts w:ascii="Calibri" w:hAnsi="Calibri" w:cs="Calibri"/>
              </w:rPr>
              <w:t xml:space="preserve">information provision for students on External Examining and the access to External Examiner reports </w:t>
            </w:r>
            <w:r w:rsidR="00107719" w:rsidRPr="006C4FDB">
              <w:rPr>
                <w:rFonts w:ascii="Calibri" w:hAnsi="Calibri" w:cs="Calibri"/>
              </w:rPr>
              <w:t>and consider any opportunities for further enhancement.</w:t>
            </w:r>
          </w:p>
        </w:tc>
        <w:tc>
          <w:tcPr>
            <w:tcW w:w="3119" w:type="dxa"/>
          </w:tcPr>
          <w:p w14:paraId="4E91FB97" w14:textId="7F8765C1" w:rsidR="006E7865" w:rsidRPr="006C4FDB" w:rsidRDefault="00107719" w:rsidP="007923BF">
            <w:pPr>
              <w:spacing w:line="276" w:lineRule="auto"/>
              <w:rPr>
                <w:rFonts w:ascii="Calibri" w:hAnsi="Calibri" w:cs="Calibri"/>
              </w:rPr>
            </w:pPr>
            <w:r w:rsidRPr="006C4FDB">
              <w:rPr>
                <w:rFonts w:ascii="Calibri" w:hAnsi="Calibri" w:cs="Calibri"/>
              </w:rPr>
              <w:t>Academic Registrar / Academic Quality and Governance Manager</w:t>
            </w:r>
          </w:p>
        </w:tc>
        <w:tc>
          <w:tcPr>
            <w:tcW w:w="2126" w:type="dxa"/>
          </w:tcPr>
          <w:p w14:paraId="516DAE0A" w14:textId="7D004BDB" w:rsidR="006E7865" w:rsidRPr="006C4FDB" w:rsidRDefault="00107719" w:rsidP="007923BF">
            <w:pPr>
              <w:spacing w:line="276" w:lineRule="auto"/>
              <w:rPr>
                <w:rFonts w:ascii="Calibri" w:hAnsi="Calibri" w:cs="Calibri"/>
              </w:rPr>
            </w:pPr>
            <w:r w:rsidRPr="006C4FDB">
              <w:rPr>
                <w:rFonts w:ascii="Calibri" w:hAnsi="Calibri" w:cs="Calibri"/>
              </w:rPr>
              <w:t>July 2025</w:t>
            </w:r>
          </w:p>
        </w:tc>
        <w:tc>
          <w:tcPr>
            <w:tcW w:w="1701" w:type="dxa"/>
          </w:tcPr>
          <w:p w14:paraId="77BA9BD5" w14:textId="35CD4238" w:rsidR="006E7865" w:rsidRPr="006C4FDB" w:rsidRDefault="00107719" w:rsidP="007923BF">
            <w:pPr>
              <w:spacing w:line="276" w:lineRule="auto"/>
              <w:rPr>
                <w:rFonts w:ascii="Calibri" w:hAnsi="Calibri" w:cs="Calibri"/>
              </w:rPr>
            </w:pPr>
            <w:r w:rsidRPr="006C4FDB">
              <w:rPr>
                <w:rFonts w:ascii="Calibri" w:hAnsi="Calibri" w:cs="Calibri"/>
              </w:rPr>
              <w:t>Planned</w:t>
            </w:r>
          </w:p>
        </w:tc>
      </w:tr>
    </w:tbl>
    <w:p w14:paraId="5972B1F4" w14:textId="77777777" w:rsidR="007E55DA" w:rsidRPr="007E55DA" w:rsidRDefault="007E55DA" w:rsidP="009D7DBD">
      <w:pPr>
        <w:spacing w:after="0" w:line="276" w:lineRule="auto"/>
        <w:rPr>
          <w:rFonts w:ascii="Calibri" w:hAnsi="Calibri" w:cs="Calibri"/>
        </w:rPr>
      </w:pPr>
    </w:p>
    <w:sectPr w:rsidR="007E55DA" w:rsidRPr="007E55DA" w:rsidSect="00A84F65">
      <w:footerReference w:type="default" r:id="rId11"/>
      <w:pgSz w:w="16838" w:h="11906" w:orient="landscape" w:code="9"/>
      <w:pgMar w:top="709"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02D60" w14:textId="77777777" w:rsidR="005B277A" w:rsidRDefault="005B277A" w:rsidP="000938D8">
      <w:pPr>
        <w:spacing w:after="0" w:line="240" w:lineRule="auto"/>
      </w:pPr>
      <w:r>
        <w:separator/>
      </w:r>
    </w:p>
  </w:endnote>
  <w:endnote w:type="continuationSeparator" w:id="0">
    <w:p w14:paraId="327251E9" w14:textId="77777777" w:rsidR="005B277A" w:rsidRDefault="005B277A" w:rsidP="000938D8">
      <w:pPr>
        <w:spacing w:after="0" w:line="240" w:lineRule="auto"/>
      </w:pPr>
      <w:r>
        <w:continuationSeparator/>
      </w:r>
    </w:p>
  </w:endnote>
  <w:endnote w:type="continuationNotice" w:id="1">
    <w:p w14:paraId="011ACB00" w14:textId="77777777" w:rsidR="005B277A" w:rsidRDefault="005B2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682187"/>
      <w:docPartObj>
        <w:docPartGallery w:val="Page Numbers (Bottom of Page)"/>
        <w:docPartUnique/>
      </w:docPartObj>
    </w:sdtPr>
    <w:sdtEndPr/>
    <w:sdtContent>
      <w:sdt>
        <w:sdtPr>
          <w:id w:val="1728636285"/>
          <w:docPartObj>
            <w:docPartGallery w:val="Page Numbers (Top of Page)"/>
            <w:docPartUnique/>
          </w:docPartObj>
        </w:sdtPr>
        <w:sdtEndPr/>
        <w:sdtContent>
          <w:p w14:paraId="7ECC5660" w14:textId="1AD0A03F" w:rsidR="00E43BF3" w:rsidRDefault="00E43B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372CA8" w14:textId="77777777" w:rsidR="000938D8" w:rsidRDefault="0009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CDDCF" w14:textId="77777777" w:rsidR="005B277A" w:rsidRDefault="005B277A" w:rsidP="000938D8">
      <w:pPr>
        <w:spacing w:after="0" w:line="240" w:lineRule="auto"/>
      </w:pPr>
      <w:r>
        <w:separator/>
      </w:r>
    </w:p>
  </w:footnote>
  <w:footnote w:type="continuationSeparator" w:id="0">
    <w:p w14:paraId="2220D51D" w14:textId="77777777" w:rsidR="005B277A" w:rsidRDefault="005B277A" w:rsidP="000938D8">
      <w:pPr>
        <w:spacing w:after="0" w:line="240" w:lineRule="auto"/>
      </w:pPr>
      <w:r>
        <w:continuationSeparator/>
      </w:r>
    </w:p>
  </w:footnote>
  <w:footnote w:type="continuationNotice" w:id="1">
    <w:p w14:paraId="6C8A7833" w14:textId="77777777" w:rsidR="005B277A" w:rsidRDefault="005B2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03DC"/>
    <w:multiLevelType w:val="multilevel"/>
    <w:tmpl w:val="264693A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2414BF"/>
    <w:multiLevelType w:val="hybridMultilevel"/>
    <w:tmpl w:val="4094E0DC"/>
    <w:lvl w:ilvl="0" w:tplc="01EAD6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0488F"/>
    <w:multiLevelType w:val="hybridMultilevel"/>
    <w:tmpl w:val="9C4E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A1C01"/>
    <w:multiLevelType w:val="hybridMultilevel"/>
    <w:tmpl w:val="F81A7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E2F2E"/>
    <w:multiLevelType w:val="multilevel"/>
    <w:tmpl w:val="6CD8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F1A5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5818998">
    <w:abstractNumId w:val="4"/>
  </w:num>
  <w:num w:numId="2" w16cid:durableId="603536311">
    <w:abstractNumId w:val="2"/>
  </w:num>
  <w:num w:numId="3" w16cid:durableId="939144996">
    <w:abstractNumId w:val="3"/>
  </w:num>
  <w:num w:numId="4" w16cid:durableId="1090857535">
    <w:abstractNumId w:val="1"/>
  </w:num>
  <w:num w:numId="5" w16cid:durableId="239489041">
    <w:abstractNumId w:val="0"/>
  </w:num>
  <w:num w:numId="6" w16cid:durableId="89860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DA"/>
    <w:rsid w:val="00012CD4"/>
    <w:rsid w:val="000271FF"/>
    <w:rsid w:val="000326EE"/>
    <w:rsid w:val="000355F0"/>
    <w:rsid w:val="000415F8"/>
    <w:rsid w:val="00046B48"/>
    <w:rsid w:val="000472BF"/>
    <w:rsid w:val="000710AC"/>
    <w:rsid w:val="0008069B"/>
    <w:rsid w:val="000826CB"/>
    <w:rsid w:val="00090027"/>
    <w:rsid w:val="00091070"/>
    <w:rsid w:val="00092F0D"/>
    <w:rsid w:val="000938D8"/>
    <w:rsid w:val="000951BA"/>
    <w:rsid w:val="000B0657"/>
    <w:rsid w:val="000B1C28"/>
    <w:rsid w:val="000B50D2"/>
    <w:rsid w:val="000B558B"/>
    <w:rsid w:val="000C1521"/>
    <w:rsid w:val="000C21B6"/>
    <w:rsid w:val="000C3BC4"/>
    <w:rsid w:val="000D32D6"/>
    <w:rsid w:val="000E0144"/>
    <w:rsid w:val="000E08EF"/>
    <w:rsid w:val="000E30EF"/>
    <w:rsid w:val="000F4A67"/>
    <w:rsid w:val="001011AD"/>
    <w:rsid w:val="001013EC"/>
    <w:rsid w:val="001030BB"/>
    <w:rsid w:val="00107719"/>
    <w:rsid w:val="001104CC"/>
    <w:rsid w:val="001126F1"/>
    <w:rsid w:val="00114B29"/>
    <w:rsid w:val="00122B3B"/>
    <w:rsid w:val="0013185A"/>
    <w:rsid w:val="001371EF"/>
    <w:rsid w:val="00141A58"/>
    <w:rsid w:val="00146932"/>
    <w:rsid w:val="001663FE"/>
    <w:rsid w:val="00170812"/>
    <w:rsid w:val="00187268"/>
    <w:rsid w:val="001914CA"/>
    <w:rsid w:val="001A3C96"/>
    <w:rsid w:val="001B0C04"/>
    <w:rsid w:val="001F4F3E"/>
    <w:rsid w:val="00207896"/>
    <w:rsid w:val="002118A2"/>
    <w:rsid w:val="0021196C"/>
    <w:rsid w:val="00216197"/>
    <w:rsid w:val="00220840"/>
    <w:rsid w:val="002334B7"/>
    <w:rsid w:val="00237C7C"/>
    <w:rsid w:val="00240F90"/>
    <w:rsid w:val="00242B94"/>
    <w:rsid w:val="0027054C"/>
    <w:rsid w:val="00273436"/>
    <w:rsid w:val="00280A2E"/>
    <w:rsid w:val="002845A5"/>
    <w:rsid w:val="0029220D"/>
    <w:rsid w:val="002930C6"/>
    <w:rsid w:val="002A241B"/>
    <w:rsid w:val="002B282C"/>
    <w:rsid w:val="002B3F48"/>
    <w:rsid w:val="002C2EBC"/>
    <w:rsid w:val="002D30DE"/>
    <w:rsid w:val="002D3E5C"/>
    <w:rsid w:val="002E1AA2"/>
    <w:rsid w:val="002F074D"/>
    <w:rsid w:val="002F3990"/>
    <w:rsid w:val="00301CE2"/>
    <w:rsid w:val="003134EF"/>
    <w:rsid w:val="003176C9"/>
    <w:rsid w:val="003217CF"/>
    <w:rsid w:val="003252D1"/>
    <w:rsid w:val="00331038"/>
    <w:rsid w:val="00331C79"/>
    <w:rsid w:val="00333858"/>
    <w:rsid w:val="00335DA9"/>
    <w:rsid w:val="003526C9"/>
    <w:rsid w:val="00353C23"/>
    <w:rsid w:val="00356A6C"/>
    <w:rsid w:val="003573F2"/>
    <w:rsid w:val="0036619C"/>
    <w:rsid w:val="00366F94"/>
    <w:rsid w:val="003925E1"/>
    <w:rsid w:val="00394E26"/>
    <w:rsid w:val="003A44E6"/>
    <w:rsid w:val="003B0720"/>
    <w:rsid w:val="003C445B"/>
    <w:rsid w:val="003C4951"/>
    <w:rsid w:val="003C6B92"/>
    <w:rsid w:val="003D62CD"/>
    <w:rsid w:val="003F3B50"/>
    <w:rsid w:val="003F7731"/>
    <w:rsid w:val="00401885"/>
    <w:rsid w:val="004028B7"/>
    <w:rsid w:val="0040409A"/>
    <w:rsid w:val="00421B05"/>
    <w:rsid w:val="00427709"/>
    <w:rsid w:val="004332F5"/>
    <w:rsid w:val="0044434B"/>
    <w:rsid w:val="00445290"/>
    <w:rsid w:val="004458F3"/>
    <w:rsid w:val="00455B23"/>
    <w:rsid w:val="0046409E"/>
    <w:rsid w:val="00464866"/>
    <w:rsid w:val="004652C0"/>
    <w:rsid w:val="00474DBC"/>
    <w:rsid w:val="00484B94"/>
    <w:rsid w:val="00485075"/>
    <w:rsid w:val="0049191D"/>
    <w:rsid w:val="00495ECF"/>
    <w:rsid w:val="004A0AD6"/>
    <w:rsid w:val="004A41F8"/>
    <w:rsid w:val="004B1EF4"/>
    <w:rsid w:val="004B51B6"/>
    <w:rsid w:val="004C4F8E"/>
    <w:rsid w:val="004D063B"/>
    <w:rsid w:val="004E6C42"/>
    <w:rsid w:val="004F20FD"/>
    <w:rsid w:val="004F2552"/>
    <w:rsid w:val="00503908"/>
    <w:rsid w:val="0050580C"/>
    <w:rsid w:val="00513FF2"/>
    <w:rsid w:val="00520089"/>
    <w:rsid w:val="005207AD"/>
    <w:rsid w:val="00524858"/>
    <w:rsid w:val="00524DE1"/>
    <w:rsid w:val="00535512"/>
    <w:rsid w:val="00535689"/>
    <w:rsid w:val="005447C4"/>
    <w:rsid w:val="005478D4"/>
    <w:rsid w:val="0055606A"/>
    <w:rsid w:val="005604B2"/>
    <w:rsid w:val="00564A96"/>
    <w:rsid w:val="00565A24"/>
    <w:rsid w:val="00577FBC"/>
    <w:rsid w:val="0058016E"/>
    <w:rsid w:val="00584BAC"/>
    <w:rsid w:val="005A1E69"/>
    <w:rsid w:val="005A2772"/>
    <w:rsid w:val="005A46F5"/>
    <w:rsid w:val="005B277A"/>
    <w:rsid w:val="005B7F31"/>
    <w:rsid w:val="005C076C"/>
    <w:rsid w:val="005C5666"/>
    <w:rsid w:val="005F6771"/>
    <w:rsid w:val="00600C5A"/>
    <w:rsid w:val="00601FE7"/>
    <w:rsid w:val="006059B9"/>
    <w:rsid w:val="00614E39"/>
    <w:rsid w:val="00621A0B"/>
    <w:rsid w:val="006310EE"/>
    <w:rsid w:val="00634B34"/>
    <w:rsid w:val="00636C3C"/>
    <w:rsid w:val="00653054"/>
    <w:rsid w:val="0065403C"/>
    <w:rsid w:val="00654314"/>
    <w:rsid w:val="00655942"/>
    <w:rsid w:val="006649E0"/>
    <w:rsid w:val="00670011"/>
    <w:rsid w:val="006804CE"/>
    <w:rsid w:val="00695720"/>
    <w:rsid w:val="006A189B"/>
    <w:rsid w:val="006A737A"/>
    <w:rsid w:val="006C02A6"/>
    <w:rsid w:val="006C4FDB"/>
    <w:rsid w:val="006C629B"/>
    <w:rsid w:val="006E29B6"/>
    <w:rsid w:val="006E7865"/>
    <w:rsid w:val="006F0FE5"/>
    <w:rsid w:val="006F36EB"/>
    <w:rsid w:val="006F4E5A"/>
    <w:rsid w:val="006F55A0"/>
    <w:rsid w:val="00702C3F"/>
    <w:rsid w:val="00705011"/>
    <w:rsid w:val="0070651D"/>
    <w:rsid w:val="00707E3E"/>
    <w:rsid w:val="00721B71"/>
    <w:rsid w:val="00723DE7"/>
    <w:rsid w:val="00735A08"/>
    <w:rsid w:val="0075491A"/>
    <w:rsid w:val="00767D61"/>
    <w:rsid w:val="007811A9"/>
    <w:rsid w:val="007817A3"/>
    <w:rsid w:val="007829DD"/>
    <w:rsid w:val="00785CE6"/>
    <w:rsid w:val="007864D3"/>
    <w:rsid w:val="0078734F"/>
    <w:rsid w:val="007923BF"/>
    <w:rsid w:val="007944B4"/>
    <w:rsid w:val="007A384A"/>
    <w:rsid w:val="007A76F5"/>
    <w:rsid w:val="007A7B3A"/>
    <w:rsid w:val="007B1720"/>
    <w:rsid w:val="007C0744"/>
    <w:rsid w:val="007C2B75"/>
    <w:rsid w:val="007D067F"/>
    <w:rsid w:val="007D3AB3"/>
    <w:rsid w:val="007E55DA"/>
    <w:rsid w:val="007E7469"/>
    <w:rsid w:val="007F3E28"/>
    <w:rsid w:val="007F5A52"/>
    <w:rsid w:val="00814A28"/>
    <w:rsid w:val="008178F8"/>
    <w:rsid w:val="0082229D"/>
    <w:rsid w:val="0082346D"/>
    <w:rsid w:val="00824873"/>
    <w:rsid w:val="0082756E"/>
    <w:rsid w:val="00845CC1"/>
    <w:rsid w:val="00851F62"/>
    <w:rsid w:val="0086119E"/>
    <w:rsid w:val="00862AAC"/>
    <w:rsid w:val="008663DA"/>
    <w:rsid w:val="00873750"/>
    <w:rsid w:val="00875ABB"/>
    <w:rsid w:val="008A0FA7"/>
    <w:rsid w:val="008A6172"/>
    <w:rsid w:val="008B391A"/>
    <w:rsid w:val="008B3E49"/>
    <w:rsid w:val="008E0437"/>
    <w:rsid w:val="008E22B0"/>
    <w:rsid w:val="008E288A"/>
    <w:rsid w:val="008E703C"/>
    <w:rsid w:val="008F1069"/>
    <w:rsid w:val="00900900"/>
    <w:rsid w:val="0090143A"/>
    <w:rsid w:val="00904191"/>
    <w:rsid w:val="00913195"/>
    <w:rsid w:val="009136DF"/>
    <w:rsid w:val="00913CD6"/>
    <w:rsid w:val="00927AAB"/>
    <w:rsid w:val="00937255"/>
    <w:rsid w:val="00940C43"/>
    <w:rsid w:val="00941617"/>
    <w:rsid w:val="00941BB1"/>
    <w:rsid w:val="009472C4"/>
    <w:rsid w:val="009567D9"/>
    <w:rsid w:val="00961302"/>
    <w:rsid w:val="00961498"/>
    <w:rsid w:val="009759EE"/>
    <w:rsid w:val="00976CE4"/>
    <w:rsid w:val="0098032A"/>
    <w:rsid w:val="009B2E9D"/>
    <w:rsid w:val="009C3018"/>
    <w:rsid w:val="009C782F"/>
    <w:rsid w:val="009D7DBD"/>
    <w:rsid w:val="009E738D"/>
    <w:rsid w:val="009F134C"/>
    <w:rsid w:val="009F7B9C"/>
    <w:rsid w:val="00A0142D"/>
    <w:rsid w:val="00A233C3"/>
    <w:rsid w:val="00A27741"/>
    <w:rsid w:val="00A30C01"/>
    <w:rsid w:val="00A32CDF"/>
    <w:rsid w:val="00A32FA6"/>
    <w:rsid w:val="00A34D03"/>
    <w:rsid w:val="00A371B6"/>
    <w:rsid w:val="00A4124B"/>
    <w:rsid w:val="00A54907"/>
    <w:rsid w:val="00A55389"/>
    <w:rsid w:val="00A578F4"/>
    <w:rsid w:val="00A71D07"/>
    <w:rsid w:val="00A76309"/>
    <w:rsid w:val="00A84647"/>
    <w:rsid w:val="00A84F65"/>
    <w:rsid w:val="00A86F33"/>
    <w:rsid w:val="00A96800"/>
    <w:rsid w:val="00AC1059"/>
    <w:rsid w:val="00AD1D82"/>
    <w:rsid w:val="00AD21B1"/>
    <w:rsid w:val="00AF2C16"/>
    <w:rsid w:val="00B000F4"/>
    <w:rsid w:val="00B11756"/>
    <w:rsid w:val="00B15F73"/>
    <w:rsid w:val="00B24BE2"/>
    <w:rsid w:val="00B416E0"/>
    <w:rsid w:val="00B53212"/>
    <w:rsid w:val="00B54C2B"/>
    <w:rsid w:val="00B63063"/>
    <w:rsid w:val="00B74DA0"/>
    <w:rsid w:val="00B77F40"/>
    <w:rsid w:val="00B80D16"/>
    <w:rsid w:val="00B8329B"/>
    <w:rsid w:val="00B85071"/>
    <w:rsid w:val="00BA2440"/>
    <w:rsid w:val="00BA699C"/>
    <w:rsid w:val="00BB5764"/>
    <w:rsid w:val="00BB7D75"/>
    <w:rsid w:val="00BC4503"/>
    <w:rsid w:val="00BC4B13"/>
    <w:rsid w:val="00BD0C2A"/>
    <w:rsid w:val="00BE1B73"/>
    <w:rsid w:val="00BF25B9"/>
    <w:rsid w:val="00BF4D30"/>
    <w:rsid w:val="00C02863"/>
    <w:rsid w:val="00C04C77"/>
    <w:rsid w:val="00C1346A"/>
    <w:rsid w:val="00C16995"/>
    <w:rsid w:val="00C2072B"/>
    <w:rsid w:val="00C30001"/>
    <w:rsid w:val="00C35487"/>
    <w:rsid w:val="00C362D3"/>
    <w:rsid w:val="00C5079D"/>
    <w:rsid w:val="00C5368C"/>
    <w:rsid w:val="00C62D3A"/>
    <w:rsid w:val="00C72B9B"/>
    <w:rsid w:val="00C854D1"/>
    <w:rsid w:val="00C9314E"/>
    <w:rsid w:val="00CA6E53"/>
    <w:rsid w:val="00CB4F1C"/>
    <w:rsid w:val="00CC67F1"/>
    <w:rsid w:val="00CD1E98"/>
    <w:rsid w:val="00CD418C"/>
    <w:rsid w:val="00CF37FD"/>
    <w:rsid w:val="00CF42CA"/>
    <w:rsid w:val="00D00CE4"/>
    <w:rsid w:val="00D036BE"/>
    <w:rsid w:val="00D13D9A"/>
    <w:rsid w:val="00D14360"/>
    <w:rsid w:val="00D22B6F"/>
    <w:rsid w:val="00D2542E"/>
    <w:rsid w:val="00D3306E"/>
    <w:rsid w:val="00D46110"/>
    <w:rsid w:val="00D513C5"/>
    <w:rsid w:val="00DA32EB"/>
    <w:rsid w:val="00DB60C6"/>
    <w:rsid w:val="00DC4FC4"/>
    <w:rsid w:val="00DD4D45"/>
    <w:rsid w:val="00E00CE5"/>
    <w:rsid w:val="00E03683"/>
    <w:rsid w:val="00E16901"/>
    <w:rsid w:val="00E33129"/>
    <w:rsid w:val="00E34466"/>
    <w:rsid w:val="00E428EC"/>
    <w:rsid w:val="00E4329F"/>
    <w:rsid w:val="00E43BF3"/>
    <w:rsid w:val="00E456DE"/>
    <w:rsid w:val="00E45A99"/>
    <w:rsid w:val="00E46CED"/>
    <w:rsid w:val="00E6191F"/>
    <w:rsid w:val="00E6249B"/>
    <w:rsid w:val="00E649DA"/>
    <w:rsid w:val="00E66B4A"/>
    <w:rsid w:val="00E67496"/>
    <w:rsid w:val="00E76CBB"/>
    <w:rsid w:val="00E81C91"/>
    <w:rsid w:val="00E8306A"/>
    <w:rsid w:val="00E8466C"/>
    <w:rsid w:val="00E8782F"/>
    <w:rsid w:val="00EB1FA8"/>
    <w:rsid w:val="00EB3BA2"/>
    <w:rsid w:val="00EB4431"/>
    <w:rsid w:val="00EC3774"/>
    <w:rsid w:val="00EE3D12"/>
    <w:rsid w:val="00EE767A"/>
    <w:rsid w:val="00EF255A"/>
    <w:rsid w:val="00EF333A"/>
    <w:rsid w:val="00EF51FA"/>
    <w:rsid w:val="00F0474E"/>
    <w:rsid w:val="00F053AD"/>
    <w:rsid w:val="00F11A86"/>
    <w:rsid w:val="00F16FBA"/>
    <w:rsid w:val="00F2500D"/>
    <w:rsid w:val="00F37D93"/>
    <w:rsid w:val="00F43740"/>
    <w:rsid w:val="00F45DE9"/>
    <w:rsid w:val="00F500EB"/>
    <w:rsid w:val="00F56D05"/>
    <w:rsid w:val="00F735FB"/>
    <w:rsid w:val="00F776A0"/>
    <w:rsid w:val="00F84DA6"/>
    <w:rsid w:val="00F942D3"/>
    <w:rsid w:val="00F9725B"/>
    <w:rsid w:val="00FA3E95"/>
    <w:rsid w:val="00FA4768"/>
    <w:rsid w:val="00FB6DFD"/>
    <w:rsid w:val="00FC2F76"/>
    <w:rsid w:val="00FC3E78"/>
    <w:rsid w:val="00FE04C7"/>
    <w:rsid w:val="00FE0F53"/>
    <w:rsid w:val="00FE1948"/>
    <w:rsid w:val="00FE576A"/>
    <w:rsid w:val="00FF33FF"/>
    <w:rsid w:val="0B1F4FFD"/>
    <w:rsid w:val="11119FA5"/>
    <w:rsid w:val="1B4A3C2C"/>
    <w:rsid w:val="1E5A788F"/>
    <w:rsid w:val="2172950B"/>
    <w:rsid w:val="29CC7E11"/>
    <w:rsid w:val="2E1DC99B"/>
    <w:rsid w:val="32337D52"/>
    <w:rsid w:val="34B38B56"/>
    <w:rsid w:val="35B10D0F"/>
    <w:rsid w:val="39F205E0"/>
    <w:rsid w:val="3FA5395A"/>
    <w:rsid w:val="465FF897"/>
    <w:rsid w:val="49C37F82"/>
    <w:rsid w:val="52549BC7"/>
    <w:rsid w:val="52B55B02"/>
    <w:rsid w:val="53A5CE2E"/>
    <w:rsid w:val="5629F342"/>
    <w:rsid w:val="5C18AE5D"/>
    <w:rsid w:val="5D817059"/>
    <w:rsid w:val="62E36E6E"/>
    <w:rsid w:val="645B9352"/>
    <w:rsid w:val="653C1425"/>
    <w:rsid w:val="66432471"/>
    <w:rsid w:val="6A635A68"/>
    <w:rsid w:val="6F04ADA8"/>
    <w:rsid w:val="704D6C28"/>
    <w:rsid w:val="77C5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70B7"/>
  <w15:docId w15:val="{EDA4B163-098B-4018-BB10-70DF4347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5DA"/>
    <w:rPr>
      <w:rFonts w:eastAsiaTheme="majorEastAsia" w:cstheme="majorBidi"/>
      <w:color w:val="272727" w:themeColor="text1" w:themeTint="D8"/>
    </w:rPr>
  </w:style>
  <w:style w:type="paragraph" w:styleId="Title">
    <w:name w:val="Title"/>
    <w:basedOn w:val="Normal"/>
    <w:next w:val="Normal"/>
    <w:link w:val="TitleChar"/>
    <w:uiPriority w:val="10"/>
    <w:qFormat/>
    <w:rsid w:val="007E5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5DA"/>
    <w:pPr>
      <w:spacing w:before="160"/>
      <w:jc w:val="center"/>
    </w:pPr>
    <w:rPr>
      <w:i/>
      <w:iCs/>
      <w:color w:val="404040" w:themeColor="text1" w:themeTint="BF"/>
    </w:rPr>
  </w:style>
  <w:style w:type="character" w:customStyle="1" w:styleId="QuoteChar">
    <w:name w:val="Quote Char"/>
    <w:basedOn w:val="DefaultParagraphFont"/>
    <w:link w:val="Quote"/>
    <w:uiPriority w:val="29"/>
    <w:rsid w:val="007E55DA"/>
    <w:rPr>
      <w:i/>
      <w:iCs/>
      <w:color w:val="404040" w:themeColor="text1" w:themeTint="BF"/>
    </w:rPr>
  </w:style>
  <w:style w:type="paragraph" w:styleId="ListParagraph">
    <w:name w:val="List Paragraph"/>
    <w:basedOn w:val="Normal"/>
    <w:uiPriority w:val="34"/>
    <w:qFormat/>
    <w:rsid w:val="007E55DA"/>
    <w:pPr>
      <w:ind w:left="720"/>
      <w:contextualSpacing/>
    </w:pPr>
  </w:style>
  <w:style w:type="character" w:styleId="IntenseEmphasis">
    <w:name w:val="Intense Emphasis"/>
    <w:basedOn w:val="DefaultParagraphFont"/>
    <w:uiPriority w:val="21"/>
    <w:qFormat/>
    <w:rsid w:val="007E55DA"/>
    <w:rPr>
      <w:i/>
      <w:iCs/>
      <w:color w:val="0F4761" w:themeColor="accent1" w:themeShade="BF"/>
    </w:rPr>
  </w:style>
  <w:style w:type="paragraph" w:styleId="IntenseQuote">
    <w:name w:val="Intense Quote"/>
    <w:basedOn w:val="Normal"/>
    <w:next w:val="Normal"/>
    <w:link w:val="IntenseQuoteChar"/>
    <w:uiPriority w:val="30"/>
    <w:qFormat/>
    <w:rsid w:val="007E5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5DA"/>
    <w:rPr>
      <w:i/>
      <w:iCs/>
      <w:color w:val="0F4761" w:themeColor="accent1" w:themeShade="BF"/>
    </w:rPr>
  </w:style>
  <w:style w:type="character" w:styleId="IntenseReference">
    <w:name w:val="Intense Reference"/>
    <w:basedOn w:val="DefaultParagraphFont"/>
    <w:uiPriority w:val="32"/>
    <w:qFormat/>
    <w:rsid w:val="007E55DA"/>
    <w:rPr>
      <w:b/>
      <w:bCs/>
      <w:smallCaps/>
      <w:color w:val="0F4761" w:themeColor="accent1" w:themeShade="BF"/>
      <w:spacing w:val="5"/>
    </w:rPr>
  </w:style>
  <w:style w:type="table" w:styleId="TableGrid">
    <w:name w:val="Table Grid"/>
    <w:basedOn w:val="TableNormal"/>
    <w:uiPriority w:val="39"/>
    <w:rsid w:val="007E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7D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7DBD"/>
    <w:rPr>
      <w:color w:val="0000FF"/>
      <w:u w:val="single"/>
    </w:rPr>
  </w:style>
  <w:style w:type="character" w:customStyle="1" w:styleId="apple-tab-span">
    <w:name w:val="apple-tab-span"/>
    <w:basedOn w:val="DefaultParagraphFont"/>
    <w:rsid w:val="009D7DBD"/>
  </w:style>
  <w:style w:type="paragraph" w:styleId="Header">
    <w:name w:val="header"/>
    <w:basedOn w:val="Normal"/>
    <w:link w:val="HeaderChar"/>
    <w:uiPriority w:val="99"/>
    <w:unhideWhenUsed/>
    <w:rsid w:val="0009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8D8"/>
  </w:style>
  <w:style w:type="paragraph" w:styleId="Footer">
    <w:name w:val="footer"/>
    <w:basedOn w:val="Normal"/>
    <w:link w:val="FooterChar"/>
    <w:uiPriority w:val="99"/>
    <w:unhideWhenUsed/>
    <w:rsid w:val="0009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8D8"/>
  </w:style>
  <w:style w:type="character" w:styleId="FollowedHyperlink">
    <w:name w:val="FollowedHyperlink"/>
    <w:basedOn w:val="DefaultParagraphFont"/>
    <w:uiPriority w:val="99"/>
    <w:semiHidden/>
    <w:unhideWhenUsed/>
    <w:rsid w:val="00BB7D75"/>
    <w:rPr>
      <w:color w:val="96607D" w:themeColor="followedHyperlink"/>
      <w:u w:val="single"/>
    </w:rPr>
  </w:style>
  <w:style w:type="character" w:styleId="UnresolvedMention">
    <w:name w:val="Unresolved Mention"/>
    <w:basedOn w:val="DefaultParagraphFont"/>
    <w:uiPriority w:val="99"/>
    <w:semiHidden/>
    <w:unhideWhenUsed/>
    <w:rsid w:val="00A27741"/>
    <w:rPr>
      <w:color w:val="605E5C"/>
      <w:shd w:val="clear" w:color="auto" w:fill="E1DFDD"/>
    </w:rPr>
  </w:style>
  <w:style w:type="character" w:styleId="CommentReference">
    <w:name w:val="annotation reference"/>
    <w:basedOn w:val="DefaultParagraphFont"/>
    <w:uiPriority w:val="99"/>
    <w:semiHidden/>
    <w:unhideWhenUsed/>
    <w:rsid w:val="00E34466"/>
    <w:rPr>
      <w:sz w:val="16"/>
      <w:szCs w:val="16"/>
    </w:rPr>
  </w:style>
  <w:style w:type="paragraph" w:styleId="CommentText">
    <w:name w:val="annotation text"/>
    <w:basedOn w:val="Normal"/>
    <w:link w:val="CommentTextChar"/>
    <w:uiPriority w:val="99"/>
    <w:unhideWhenUsed/>
    <w:rsid w:val="00E34466"/>
    <w:pPr>
      <w:spacing w:line="240" w:lineRule="auto"/>
    </w:pPr>
    <w:rPr>
      <w:sz w:val="20"/>
      <w:szCs w:val="20"/>
    </w:rPr>
  </w:style>
  <w:style w:type="character" w:customStyle="1" w:styleId="CommentTextChar">
    <w:name w:val="Comment Text Char"/>
    <w:basedOn w:val="DefaultParagraphFont"/>
    <w:link w:val="CommentText"/>
    <w:uiPriority w:val="99"/>
    <w:rsid w:val="00E34466"/>
    <w:rPr>
      <w:sz w:val="20"/>
      <w:szCs w:val="20"/>
    </w:rPr>
  </w:style>
  <w:style w:type="paragraph" w:styleId="CommentSubject">
    <w:name w:val="annotation subject"/>
    <w:basedOn w:val="CommentText"/>
    <w:next w:val="CommentText"/>
    <w:link w:val="CommentSubjectChar"/>
    <w:uiPriority w:val="99"/>
    <w:semiHidden/>
    <w:unhideWhenUsed/>
    <w:rsid w:val="00E34466"/>
    <w:rPr>
      <w:b/>
      <w:bCs/>
    </w:rPr>
  </w:style>
  <w:style w:type="character" w:customStyle="1" w:styleId="CommentSubjectChar">
    <w:name w:val="Comment Subject Char"/>
    <w:basedOn w:val="CommentTextChar"/>
    <w:link w:val="CommentSubject"/>
    <w:uiPriority w:val="99"/>
    <w:semiHidden/>
    <w:rsid w:val="00E34466"/>
    <w:rPr>
      <w:b/>
      <w:bCs/>
      <w:sz w:val="20"/>
      <w:szCs w:val="20"/>
    </w:rPr>
  </w:style>
  <w:style w:type="character" w:styleId="Mention">
    <w:name w:val="Mention"/>
    <w:basedOn w:val="DefaultParagraphFont"/>
    <w:uiPriority w:val="99"/>
    <w:unhideWhenUsed/>
    <w:rsid w:val="00E331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9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6BD2AD385F134AAA5D1A460828D141" ma:contentTypeVersion="8" ma:contentTypeDescription="Create a new document." ma:contentTypeScope="" ma:versionID="3480dd66e4f2bb5f981d1863c8e91831">
  <xsd:schema xmlns:xsd="http://www.w3.org/2001/XMLSchema" xmlns:xs="http://www.w3.org/2001/XMLSchema" xmlns:p="http://schemas.microsoft.com/office/2006/metadata/properties" xmlns:ns2="0a12e873-3dbf-4520-ad30-c53498269f02" xmlns:ns3="2c68a8f0-515e-4f09-a512-342ec169fadf" targetNamespace="http://schemas.microsoft.com/office/2006/metadata/properties" ma:root="true" ma:fieldsID="e63a0c8e5a5384fea3a8cd601676b2ce" ns2:_="" ns3:_="">
    <xsd:import namespace="0a12e873-3dbf-4520-ad30-c53498269f02"/>
    <xsd:import namespace="2c68a8f0-515e-4f09-a512-342ec169f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2e873-3dbf-4520-ad30-c5349826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a8f0-515e-4f09-a512-342ec169f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6EE29-E30E-4790-ADB4-905A7DDA11F6}">
  <ds:schemaRefs>
    <ds:schemaRef ds:uri="http://schemas.microsoft.com/sharepoint/v3/contenttype/forms"/>
  </ds:schemaRefs>
</ds:datastoreItem>
</file>

<file path=customXml/itemProps2.xml><?xml version="1.0" encoding="utf-8"?>
<ds:datastoreItem xmlns:ds="http://schemas.openxmlformats.org/officeDocument/2006/customXml" ds:itemID="{CB723C72-2BC1-4210-8627-925C06307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1F745-11B2-4982-98FD-C1BE1DE30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2e873-3dbf-4520-ad30-c53498269f02"/>
    <ds:schemaRef ds:uri="2c68a8f0-515e-4f09-a512-342ec169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2</cp:revision>
  <dcterms:created xsi:type="dcterms:W3CDTF">2024-07-15T08:32:00Z</dcterms:created>
  <dcterms:modified xsi:type="dcterms:W3CDTF">2024-07-15T08:32:00Z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0x010100356BD2AD385F134AAA5D1A460828D141</vt:lpwstr>
  </property>
</Properties>
</file>